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374EAA" w:rsidRPr="00374EAA" w:rsidTr="00454A1C">
        <w:tc>
          <w:tcPr>
            <w:tcW w:w="5495" w:type="dxa"/>
          </w:tcPr>
          <w:p w:rsidR="00374EAA" w:rsidRPr="00374EAA" w:rsidRDefault="00BE3C86" w:rsidP="00374EAA">
            <w:pPr>
              <w:widowControl w:val="0"/>
              <w:autoSpaceDE w:val="0"/>
              <w:autoSpaceDN w:val="0"/>
              <w:ind w:right="397"/>
              <w:jc w:val="both"/>
              <w:rPr>
                <w:rFonts w:ascii="Arial" w:eastAsia="Times New Roman" w:hAnsi="Arial"/>
                <w:b/>
                <w:bCs/>
                <w:sz w:val="24"/>
              </w:rPr>
            </w:pPr>
            <w:r>
              <w:rPr>
                <w:rFonts w:ascii="Arial" w:eastAsia="Times New Roman" w:hAnsi="Arial"/>
                <w:b/>
                <w:sz w:val="24"/>
              </w:rPr>
              <w:t>West Area Planning Committee</w:t>
            </w:r>
          </w:p>
        </w:tc>
        <w:tc>
          <w:tcPr>
            <w:tcW w:w="3793" w:type="dxa"/>
          </w:tcPr>
          <w:p w:rsidR="00374EAA" w:rsidRPr="00374EAA" w:rsidRDefault="00374EAA" w:rsidP="00EA457E">
            <w:pPr>
              <w:widowControl w:val="0"/>
              <w:autoSpaceDE w:val="0"/>
              <w:autoSpaceDN w:val="0"/>
              <w:jc w:val="right"/>
              <w:rPr>
                <w:rFonts w:ascii="Arial" w:eastAsia="Times New Roman" w:hAnsi="Arial"/>
                <w:sz w:val="24"/>
              </w:rPr>
            </w:pPr>
            <w:r w:rsidRPr="00374EAA">
              <w:rPr>
                <w:rFonts w:ascii="Arial" w:eastAsia="Times New Roman" w:hAnsi="Arial"/>
                <w:sz w:val="24"/>
              </w:rPr>
              <w:t>6 August 2019</w:t>
            </w:r>
          </w:p>
        </w:tc>
      </w:tr>
    </w:tbl>
    <w:p w:rsidR="00374EAA" w:rsidRPr="00374EAA" w:rsidRDefault="00374EAA" w:rsidP="00374EAA">
      <w:pPr>
        <w:autoSpaceDE w:val="0"/>
        <w:autoSpaceDN w:val="0"/>
        <w:jc w:val="both"/>
        <w:rPr>
          <w:rFonts w:ascii="Arial" w:eastAsia="Times New Roman" w:hAnsi="Arial"/>
          <w:sz w:val="24"/>
        </w:rPr>
      </w:pPr>
    </w:p>
    <w:tbl>
      <w:tblPr>
        <w:tblW w:w="0" w:type="auto"/>
        <w:tblLook w:val="0000" w:firstRow="0" w:lastRow="0" w:firstColumn="0" w:lastColumn="0" w:noHBand="0" w:noVBand="0"/>
      </w:tblPr>
      <w:tblGrid>
        <w:gridCol w:w="2932"/>
        <w:gridCol w:w="6310"/>
      </w:tblGrid>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b/>
                <w:bCs/>
                <w:sz w:val="24"/>
              </w:rPr>
              <w:t>Application number:</w:t>
            </w:r>
          </w:p>
        </w:tc>
        <w:tc>
          <w:tcPr>
            <w:tcW w:w="6344"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sz w:val="24"/>
              </w:rPr>
              <w:t>19/01298/CT3</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b/>
                <w:bCs/>
                <w:sz w:val="24"/>
              </w:rPr>
              <w:t>Decision due by</w:t>
            </w:r>
          </w:p>
        </w:tc>
        <w:tc>
          <w:tcPr>
            <w:tcW w:w="6344" w:type="dxa"/>
          </w:tcPr>
          <w:p w:rsidR="00374EAA" w:rsidRPr="00374EAA" w:rsidRDefault="00374EAA" w:rsidP="00EA457E">
            <w:pPr>
              <w:autoSpaceDE w:val="0"/>
              <w:autoSpaceDN w:val="0"/>
              <w:jc w:val="both"/>
              <w:rPr>
                <w:rFonts w:ascii="Arial" w:eastAsia="Times New Roman" w:hAnsi="Arial"/>
                <w:sz w:val="24"/>
              </w:rPr>
            </w:pPr>
            <w:r w:rsidRPr="00374EAA">
              <w:rPr>
                <w:rFonts w:ascii="Arial" w:eastAsia="Times New Roman" w:hAnsi="Arial"/>
                <w:sz w:val="24"/>
              </w:rPr>
              <w:t>23 July 2019</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sz w:val="24"/>
              </w:rPr>
            </w:pPr>
            <w:r w:rsidRPr="00374EAA">
              <w:rPr>
                <w:rFonts w:ascii="Arial" w:eastAsia="Times New Roman" w:hAnsi="Arial"/>
                <w:b/>
                <w:sz w:val="24"/>
              </w:rPr>
              <w:t>Extension of time</w:t>
            </w:r>
          </w:p>
        </w:tc>
        <w:tc>
          <w:tcPr>
            <w:tcW w:w="6344" w:type="dxa"/>
          </w:tcPr>
          <w:p w:rsidR="00374EAA" w:rsidRPr="00374EAA" w:rsidRDefault="006A7592" w:rsidP="00EA457E">
            <w:pPr>
              <w:autoSpaceDE w:val="0"/>
              <w:autoSpaceDN w:val="0"/>
              <w:jc w:val="both"/>
              <w:rPr>
                <w:rFonts w:ascii="Arial" w:eastAsia="Times New Roman" w:hAnsi="Arial"/>
                <w:sz w:val="24"/>
              </w:rPr>
            </w:pPr>
            <w:r>
              <w:rPr>
                <w:rFonts w:ascii="Arial" w:eastAsia="Times New Roman" w:hAnsi="Arial"/>
                <w:sz w:val="24"/>
              </w:rPr>
              <w:t>16 August 2019</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bCs/>
                <w:sz w:val="24"/>
              </w:rPr>
            </w:pPr>
            <w:r w:rsidRPr="00374EAA">
              <w:rPr>
                <w:rFonts w:ascii="Arial" w:eastAsia="Times New Roman" w:hAnsi="Arial"/>
                <w:b/>
                <w:bCs/>
                <w:sz w:val="24"/>
              </w:rPr>
              <w:t>Proposal</w:t>
            </w:r>
          </w:p>
        </w:tc>
        <w:tc>
          <w:tcPr>
            <w:tcW w:w="6344"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sz w:val="24"/>
              </w:rPr>
              <w:t>Erection of a two storey side extension, erection of single storey front extension and erection of single storey rear extension (amended plans).</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bCs/>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bCs/>
                <w:sz w:val="24"/>
              </w:rPr>
            </w:pPr>
            <w:r w:rsidRPr="00374EAA">
              <w:rPr>
                <w:rFonts w:ascii="Arial" w:eastAsia="Times New Roman" w:hAnsi="Arial"/>
                <w:b/>
                <w:bCs/>
                <w:sz w:val="24"/>
              </w:rPr>
              <w:t>Site address</w:t>
            </w:r>
          </w:p>
        </w:tc>
        <w:tc>
          <w:tcPr>
            <w:tcW w:w="6344" w:type="dxa"/>
          </w:tcPr>
          <w:p w:rsidR="00374EAA" w:rsidRPr="00374EAA" w:rsidRDefault="00374EAA" w:rsidP="00374EAA">
            <w:pPr>
              <w:autoSpaceDE w:val="0"/>
              <w:autoSpaceDN w:val="0"/>
              <w:rPr>
                <w:rFonts w:ascii="Arial" w:eastAsia="Times New Roman" w:hAnsi="Arial"/>
                <w:sz w:val="24"/>
              </w:rPr>
            </w:pPr>
            <w:r w:rsidRPr="00374EAA">
              <w:rPr>
                <w:rFonts w:ascii="Arial" w:eastAsia="Times New Roman" w:hAnsi="Arial"/>
                <w:sz w:val="24"/>
              </w:rPr>
              <w:t xml:space="preserve">16 </w:t>
            </w:r>
            <w:proofErr w:type="spellStart"/>
            <w:r w:rsidRPr="00374EAA">
              <w:rPr>
                <w:rFonts w:ascii="Arial" w:eastAsia="Times New Roman" w:hAnsi="Arial"/>
                <w:sz w:val="24"/>
              </w:rPr>
              <w:t>Sparsey</w:t>
            </w:r>
            <w:proofErr w:type="spellEnd"/>
            <w:r w:rsidRPr="00374EAA">
              <w:rPr>
                <w:rFonts w:ascii="Arial" w:eastAsia="Times New Roman" w:hAnsi="Arial"/>
                <w:sz w:val="24"/>
              </w:rPr>
              <w:t xml:space="preserve"> Place, Oxford, OX2 8NL,  – see </w:t>
            </w:r>
            <w:r w:rsidRPr="00374EAA">
              <w:rPr>
                <w:rFonts w:ascii="Arial" w:eastAsia="Times New Roman" w:hAnsi="Arial"/>
                <w:b/>
                <w:sz w:val="24"/>
              </w:rPr>
              <w:t>Appendix 1</w:t>
            </w:r>
            <w:r w:rsidRPr="00374EAA">
              <w:rPr>
                <w:rFonts w:ascii="Arial" w:eastAsia="Times New Roman" w:hAnsi="Arial"/>
                <w:sz w:val="24"/>
              </w:rPr>
              <w:t xml:space="preserve"> for site plan</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bCs/>
                <w:sz w:val="24"/>
              </w:rPr>
            </w:pPr>
            <w:r w:rsidRPr="00374EAA">
              <w:rPr>
                <w:rFonts w:ascii="Arial" w:eastAsia="Times New Roman" w:hAnsi="Arial"/>
                <w:b/>
                <w:bCs/>
                <w:sz w:val="24"/>
              </w:rPr>
              <w:t>Ward</w:t>
            </w:r>
          </w:p>
        </w:tc>
        <w:tc>
          <w:tcPr>
            <w:tcW w:w="6344"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sz w:val="24"/>
              </w:rPr>
              <w:t>Wolvercote Ward</w:t>
            </w:r>
          </w:p>
        </w:tc>
      </w:tr>
      <w:tr w:rsidR="00374EAA" w:rsidRPr="00374EAA" w:rsidTr="00454A1C">
        <w:tc>
          <w:tcPr>
            <w:tcW w:w="2943" w:type="dxa"/>
          </w:tcPr>
          <w:p w:rsidR="00374EAA" w:rsidRPr="00374EAA" w:rsidRDefault="00374EAA" w:rsidP="00374EAA">
            <w:pPr>
              <w:autoSpaceDE w:val="0"/>
              <w:autoSpaceDN w:val="0"/>
              <w:jc w:val="both"/>
              <w:rPr>
                <w:rFonts w:ascii="Arial" w:eastAsia="Times New Roman" w:hAnsi="Arial"/>
                <w:b/>
                <w:bCs/>
                <w:sz w:val="24"/>
              </w:rPr>
            </w:pPr>
          </w:p>
        </w:tc>
        <w:tc>
          <w:tcPr>
            <w:tcW w:w="6344" w:type="dxa"/>
          </w:tcPr>
          <w:p w:rsidR="00374EAA" w:rsidRPr="00374EAA" w:rsidRDefault="00374EAA" w:rsidP="00374EAA">
            <w:pPr>
              <w:autoSpaceDE w:val="0"/>
              <w:autoSpaceDN w:val="0"/>
              <w:jc w:val="both"/>
              <w:rPr>
                <w:rFonts w:ascii="Arial" w:eastAsia="Times New Roman" w:hAnsi="Arial"/>
                <w:sz w:val="24"/>
              </w:rPr>
            </w:pPr>
          </w:p>
        </w:tc>
      </w:tr>
      <w:tr w:rsidR="00374EAA" w:rsidRPr="00374EAA" w:rsidTr="00454A1C">
        <w:tc>
          <w:tcPr>
            <w:tcW w:w="2943" w:type="dxa"/>
          </w:tcPr>
          <w:p w:rsidR="00374EAA" w:rsidRPr="00374EAA" w:rsidRDefault="00374EAA" w:rsidP="00374EAA">
            <w:pPr>
              <w:autoSpaceDE w:val="0"/>
              <w:autoSpaceDN w:val="0"/>
              <w:rPr>
                <w:rFonts w:ascii="Arial" w:eastAsia="Times New Roman" w:hAnsi="Arial"/>
                <w:b/>
                <w:bCs/>
                <w:sz w:val="24"/>
              </w:rPr>
            </w:pPr>
            <w:r w:rsidRPr="00374EAA">
              <w:rPr>
                <w:rFonts w:ascii="Arial" w:eastAsia="Times New Roman" w:hAnsi="Arial"/>
                <w:b/>
                <w:bCs/>
                <w:sz w:val="24"/>
              </w:rPr>
              <w:t>Case officer</w:t>
            </w:r>
          </w:p>
        </w:tc>
        <w:tc>
          <w:tcPr>
            <w:tcW w:w="6344" w:type="dxa"/>
          </w:tcPr>
          <w:p w:rsidR="00374EAA" w:rsidRPr="00374EAA" w:rsidRDefault="00374EAA" w:rsidP="00374EAA">
            <w:pPr>
              <w:autoSpaceDE w:val="0"/>
              <w:autoSpaceDN w:val="0"/>
              <w:jc w:val="both"/>
              <w:rPr>
                <w:rFonts w:ascii="Arial" w:eastAsia="Times New Roman" w:hAnsi="Arial"/>
                <w:sz w:val="24"/>
              </w:rPr>
            </w:pPr>
            <w:r w:rsidRPr="00374EAA">
              <w:rPr>
                <w:rFonts w:ascii="Arial" w:eastAsia="Times New Roman" w:hAnsi="Arial"/>
                <w:sz w:val="24"/>
              </w:rPr>
              <w:t>Sarah Orchard</w:t>
            </w:r>
          </w:p>
        </w:tc>
      </w:tr>
    </w:tbl>
    <w:p w:rsidR="00374EAA" w:rsidRPr="00374EAA" w:rsidRDefault="00374EAA" w:rsidP="00374EAA">
      <w:pPr>
        <w:autoSpaceDE w:val="0"/>
        <w:autoSpaceDN w:val="0"/>
        <w:jc w:val="both"/>
        <w:rPr>
          <w:rFonts w:ascii="Arial" w:eastAsia="Times New Roman" w:hAnsi="Arial"/>
          <w:sz w:val="24"/>
        </w:rPr>
      </w:pPr>
    </w:p>
    <w:tbl>
      <w:tblPr>
        <w:tblW w:w="9288" w:type="dxa"/>
        <w:tblLayout w:type="fixed"/>
        <w:tblLook w:val="0000" w:firstRow="0" w:lastRow="0" w:firstColumn="0" w:lastColumn="0" w:noHBand="0" w:noVBand="0"/>
      </w:tblPr>
      <w:tblGrid>
        <w:gridCol w:w="2943"/>
        <w:gridCol w:w="2115"/>
        <w:gridCol w:w="1854"/>
        <w:gridCol w:w="2376"/>
      </w:tblGrid>
      <w:tr w:rsidR="00374EAA" w:rsidRPr="00374EAA" w:rsidTr="00454A1C">
        <w:tc>
          <w:tcPr>
            <w:tcW w:w="2943" w:type="dxa"/>
          </w:tcPr>
          <w:p w:rsidR="00374EAA" w:rsidRPr="00374EAA" w:rsidRDefault="00374EAA" w:rsidP="00374EAA">
            <w:pPr>
              <w:autoSpaceDE w:val="0"/>
              <w:autoSpaceDN w:val="0"/>
              <w:rPr>
                <w:rFonts w:ascii="Arial" w:eastAsia="Times New Roman" w:hAnsi="Arial"/>
                <w:sz w:val="24"/>
              </w:rPr>
            </w:pPr>
            <w:r w:rsidRPr="00374EAA">
              <w:rPr>
                <w:rFonts w:ascii="Arial" w:eastAsia="Times New Roman" w:hAnsi="Arial"/>
                <w:b/>
                <w:bCs/>
                <w:sz w:val="24"/>
              </w:rPr>
              <w:t>Agent:</w:t>
            </w:r>
            <w:r w:rsidRPr="00374EAA">
              <w:rPr>
                <w:rFonts w:ascii="Arial" w:eastAsia="Times New Roman" w:hAnsi="Arial"/>
                <w:sz w:val="24"/>
              </w:rPr>
              <w:t xml:space="preserve"> </w:t>
            </w:r>
          </w:p>
        </w:tc>
        <w:tc>
          <w:tcPr>
            <w:tcW w:w="2115" w:type="dxa"/>
          </w:tcPr>
          <w:p w:rsidR="00374EAA" w:rsidRPr="00374EAA" w:rsidRDefault="00374EAA" w:rsidP="00374EAA">
            <w:pPr>
              <w:autoSpaceDE w:val="0"/>
              <w:autoSpaceDN w:val="0"/>
              <w:rPr>
                <w:rFonts w:ascii="Arial" w:eastAsia="Times New Roman" w:hAnsi="Arial"/>
                <w:sz w:val="24"/>
              </w:rPr>
            </w:pPr>
            <w:r w:rsidRPr="00374EAA">
              <w:rPr>
                <w:rFonts w:ascii="Arial" w:eastAsia="Times New Roman" w:hAnsi="Arial"/>
                <w:sz w:val="24"/>
              </w:rPr>
              <w:t>Jessop And Cook Architects</w:t>
            </w:r>
          </w:p>
        </w:tc>
        <w:tc>
          <w:tcPr>
            <w:tcW w:w="1854" w:type="dxa"/>
          </w:tcPr>
          <w:p w:rsidR="00374EAA" w:rsidRPr="00374EAA" w:rsidRDefault="00374EAA" w:rsidP="00374EAA">
            <w:pPr>
              <w:autoSpaceDE w:val="0"/>
              <w:autoSpaceDN w:val="0"/>
              <w:rPr>
                <w:rFonts w:ascii="Arial" w:eastAsia="Times New Roman" w:hAnsi="Arial"/>
                <w:sz w:val="24"/>
              </w:rPr>
            </w:pPr>
            <w:r w:rsidRPr="00374EAA">
              <w:rPr>
                <w:rFonts w:ascii="Arial" w:eastAsia="Times New Roman" w:hAnsi="Arial"/>
                <w:b/>
                <w:bCs/>
                <w:sz w:val="24"/>
              </w:rPr>
              <w:t>Applicant:</w:t>
            </w:r>
            <w:r w:rsidRPr="00374EAA">
              <w:rPr>
                <w:rFonts w:ascii="Arial" w:eastAsia="Times New Roman" w:hAnsi="Arial"/>
                <w:sz w:val="24"/>
              </w:rPr>
              <w:t xml:space="preserve"> </w:t>
            </w:r>
          </w:p>
        </w:tc>
        <w:tc>
          <w:tcPr>
            <w:tcW w:w="2376" w:type="dxa"/>
          </w:tcPr>
          <w:p w:rsidR="00374EAA" w:rsidRPr="00374EAA" w:rsidRDefault="00374EAA" w:rsidP="00374EAA">
            <w:pPr>
              <w:autoSpaceDE w:val="0"/>
              <w:autoSpaceDN w:val="0"/>
              <w:rPr>
                <w:rFonts w:ascii="Arial" w:eastAsia="Times New Roman" w:hAnsi="Arial"/>
                <w:sz w:val="24"/>
              </w:rPr>
            </w:pPr>
            <w:r w:rsidRPr="00374EAA">
              <w:rPr>
                <w:rFonts w:ascii="Arial" w:eastAsia="Times New Roman" w:hAnsi="Arial"/>
                <w:sz w:val="24"/>
              </w:rPr>
              <w:t>Oxford City Housing Ltd</w:t>
            </w:r>
          </w:p>
        </w:tc>
      </w:tr>
    </w:tbl>
    <w:p w:rsidR="00374EAA" w:rsidRPr="00374EAA" w:rsidRDefault="00374EAA" w:rsidP="00374EAA">
      <w:pPr>
        <w:autoSpaceDE w:val="0"/>
        <w:autoSpaceDN w:val="0"/>
        <w:rPr>
          <w:rFonts w:ascii="Arial" w:eastAsia="Times New Roman" w:hAnsi="Arial"/>
          <w:sz w:val="24"/>
        </w:rPr>
      </w:pPr>
    </w:p>
    <w:tbl>
      <w:tblPr>
        <w:tblW w:w="9288" w:type="dxa"/>
        <w:tblLayout w:type="fixed"/>
        <w:tblLook w:val="0000" w:firstRow="0" w:lastRow="0" w:firstColumn="0" w:lastColumn="0" w:noHBand="0" w:noVBand="0"/>
      </w:tblPr>
      <w:tblGrid>
        <w:gridCol w:w="2943"/>
        <w:gridCol w:w="6345"/>
      </w:tblGrid>
      <w:tr w:rsidR="00374EAA" w:rsidRPr="00374EAA" w:rsidTr="00A141B4">
        <w:trPr>
          <w:trHeight w:val="299"/>
        </w:trPr>
        <w:tc>
          <w:tcPr>
            <w:tcW w:w="2943" w:type="dxa"/>
          </w:tcPr>
          <w:p w:rsidR="00374EAA" w:rsidRPr="00374EAA" w:rsidRDefault="00374EAA" w:rsidP="00374EAA">
            <w:pPr>
              <w:autoSpaceDE w:val="0"/>
              <w:autoSpaceDN w:val="0"/>
              <w:rPr>
                <w:rFonts w:ascii="Arial" w:eastAsia="Times New Roman" w:hAnsi="Arial"/>
                <w:b/>
                <w:bCs/>
                <w:sz w:val="24"/>
              </w:rPr>
            </w:pPr>
            <w:r w:rsidRPr="00374EAA">
              <w:rPr>
                <w:rFonts w:ascii="Arial" w:eastAsia="Times New Roman" w:hAnsi="Arial"/>
                <w:b/>
                <w:sz w:val="24"/>
              </w:rPr>
              <w:t>Reason at Committee</w:t>
            </w:r>
          </w:p>
        </w:tc>
        <w:tc>
          <w:tcPr>
            <w:tcW w:w="6345" w:type="dxa"/>
          </w:tcPr>
          <w:p w:rsidR="00374EAA" w:rsidRPr="00374EAA" w:rsidRDefault="00374EAA" w:rsidP="00A141B4">
            <w:pPr>
              <w:autoSpaceDE w:val="0"/>
              <w:autoSpaceDN w:val="0"/>
              <w:rPr>
                <w:rFonts w:ascii="Arial" w:eastAsia="Times New Roman" w:hAnsi="Arial"/>
                <w:sz w:val="24"/>
              </w:rPr>
            </w:pPr>
            <w:r w:rsidRPr="00374EAA">
              <w:rPr>
                <w:rFonts w:ascii="Arial" w:eastAsia="Times New Roman" w:hAnsi="Arial"/>
                <w:sz w:val="24"/>
              </w:rPr>
              <w:t xml:space="preserve">The application is </w:t>
            </w:r>
            <w:r w:rsidR="00A141B4">
              <w:rPr>
                <w:rFonts w:ascii="Arial" w:eastAsia="Times New Roman" w:hAnsi="Arial"/>
                <w:sz w:val="24"/>
              </w:rPr>
              <w:t>made on behalf of Oxford City Council</w:t>
            </w:r>
          </w:p>
        </w:tc>
      </w:tr>
    </w:tbl>
    <w:p w:rsidR="00374EAA" w:rsidRPr="00374EAA" w:rsidRDefault="00374EAA" w:rsidP="00374EAA">
      <w:pPr>
        <w:pBdr>
          <w:bottom w:val="single" w:sz="4" w:space="1" w:color="auto"/>
        </w:pBdr>
        <w:autoSpaceDE w:val="0"/>
        <w:autoSpaceDN w:val="0"/>
        <w:jc w:val="both"/>
        <w:rPr>
          <w:rFonts w:ascii="Arial" w:eastAsia="Times New Roman" w:hAnsi="Arial"/>
          <w:sz w:val="24"/>
        </w:rPr>
      </w:pPr>
    </w:p>
    <w:p w:rsidR="00374EAA" w:rsidRPr="00374EAA" w:rsidRDefault="00374EAA" w:rsidP="00374EAA">
      <w:pPr>
        <w:widowControl w:val="0"/>
        <w:autoSpaceDE w:val="0"/>
        <w:autoSpaceDN w:val="0"/>
        <w:jc w:val="both"/>
        <w:rPr>
          <w:rFonts w:ascii="Arial" w:eastAsia="Times New Roman" w:hAnsi="Arial"/>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RECOMMENDATION</w:t>
      </w:r>
    </w:p>
    <w:p w:rsidR="00374EAA" w:rsidRPr="00374EAA" w:rsidRDefault="00374EAA" w:rsidP="00374EAA">
      <w:pPr>
        <w:numPr>
          <w:ilvl w:val="1"/>
          <w:numId w:val="1"/>
        </w:numPr>
        <w:autoSpaceDE w:val="0"/>
        <w:autoSpaceDN w:val="0"/>
        <w:spacing w:after="240"/>
        <w:rPr>
          <w:rFonts w:ascii="Arial" w:eastAsia="Times New Roman" w:hAnsi="Arial"/>
          <w:sz w:val="24"/>
        </w:rPr>
      </w:pPr>
      <w:r w:rsidRPr="00374EAA">
        <w:rPr>
          <w:rFonts w:ascii="Arial" w:eastAsia="Times New Roman" w:hAnsi="Arial"/>
          <w:sz w:val="24"/>
        </w:rPr>
        <w:t xml:space="preserve"> West Area Planning Committee</w:t>
      </w:r>
      <w:r w:rsidRPr="00374EAA">
        <w:rPr>
          <w:rFonts w:ascii="Arial" w:eastAsia="Times New Roman" w:hAnsi="Arial"/>
          <w:b/>
          <w:sz w:val="24"/>
        </w:rPr>
        <w:t xml:space="preserve"> </w:t>
      </w:r>
      <w:r w:rsidRPr="00374EAA">
        <w:rPr>
          <w:rFonts w:ascii="Arial" w:eastAsia="Times New Roman" w:hAnsi="Arial"/>
          <w:sz w:val="24"/>
        </w:rPr>
        <w:t>is recommended to:</w:t>
      </w:r>
    </w:p>
    <w:p w:rsidR="00374EAA" w:rsidRPr="00374EAA" w:rsidRDefault="00374EAA" w:rsidP="00374EAA">
      <w:pPr>
        <w:widowControl w:val="0"/>
        <w:numPr>
          <w:ilvl w:val="2"/>
          <w:numId w:val="1"/>
        </w:numPr>
        <w:autoSpaceDE w:val="0"/>
        <w:autoSpaceDN w:val="0"/>
        <w:spacing w:after="240"/>
        <w:ind w:left="709" w:hanging="709"/>
        <w:jc w:val="both"/>
        <w:rPr>
          <w:rFonts w:ascii="Arial" w:eastAsia="Times New Roman" w:hAnsi="Arial"/>
          <w:bCs/>
          <w:sz w:val="24"/>
        </w:rPr>
      </w:pPr>
      <w:r w:rsidRPr="00374EAA">
        <w:rPr>
          <w:rFonts w:ascii="Arial" w:eastAsia="Times New Roman" w:hAnsi="Arial"/>
          <w:b/>
          <w:bCs/>
          <w:sz w:val="24"/>
        </w:rPr>
        <w:t>approve the application</w:t>
      </w:r>
      <w:r w:rsidRPr="00374EAA">
        <w:rPr>
          <w:rFonts w:ascii="Arial" w:eastAsia="Times New Roman" w:hAnsi="Arial"/>
          <w:bCs/>
          <w:sz w:val="24"/>
        </w:rPr>
        <w:t xml:space="preserve"> for the reasons given in the report and subject to the required planning conditions set out in section 12 of this report and grant planning permission;</w:t>
      </w:r>
    </w:p>
    <w:p w:rsidR="00374EAA" w:rsidRPr="00374EAA" w:rsidRDefault="00374EAA" w:rsidP="00374EAA">
      <w:pPr>
        <w:widowControl w:val="0"/>
        <w:numPr>
          <w:ilvl w:val="2"/>
          <w:numId w:val="1"/>
        </w:numPr>
        <w:autoSpaceDE w:val="0"/>
        <w:autoSpaceDN w:val="0"/>
        <w:spacing w:after="240"/>
        <w:ind w:left="709" w:hanging="709"/>
        <w:jc w:val="both"/>
        <w:rPr>
          <w:rFonts w:ascii="Arial" w:eastAsia="Times New Roman" w:hAnsi="Arial"/>
          <w:bCs/>
          <w:sz w:val="24"/>
        </w:rPr>
      </w:pPr>
      <w:r w:rsidRPr="00374EAA">
        <w:rPr>
          <w:rFonts w:ascii="Arial" w:eastAsia="Times New Roman" w:hAnsi="Arial"/>
          <w:b/>
          <w:bCs/>
          <w:sz w:val="24"/>
        </w:rPr>
        <w:t>agree to delegate authority</w:t>
      </w:r>
      <w:r w:rsidRPr="00374EAA">
        <w:rPr>
          <w:rFonts w:ascii="Arial" w:eastAsia="Times New Roman" w:hAnsi="Arial"/>
          <w:bCs/>
          <w:sz w:val="24"/>
        </w:rPr>
        <w:t xml:space="preserve"> to the Acting Head of Planning Services to:</w:t>
      </w:r>
    </w:p>
    <w:p w:rsidR="00374EAA" w:rsidRPr="00374EAA" w:rsidRDefault="00374EAA" w:rsidP="00374EAA">
      <w:pPr>
        <w:widowControl w:val="0"/>
        <w:numPr>
          <w:ilvl w:val="0"/>
          <w:numId w:val="2"/>
        </w:numPr>
        <w:autoSpaceDE w:val="0"/>
        <w:autoSpaceDN w:val="0"/>
        <w:spacing w:after="120"/>
        <w:jc w:val="both"/>
        <w:rPr>
          <w:rFonts w:ascii="Arial" w:eastAsia="Times New Roman" w:hAnsi="Arial"/>
          <w:bCs/>
          <w:sz w:val="24"/>
        </w:rPr>
      </w:pPr>
      <w:r w:rsidRPr="00374EAA">
        <w:rPr>
          <w:rFonts w:ascii="Arial" w:eastAsia="Times New Roman" w:hAnsi="Arial"/>
          <w:bCs/>
          <w:sz w:val="24"/>
        </w:rPr>
        <w:t>finalise the recommended conditions as set out in this report including such refinements, amendments, additions and/or deletions as the Acting Head of Planning Services considers reasonably necessary.</w:t>
      </w:r>
    </w:p>
    <w:p w:rsidR="00374EAA" w:rsidRPr="00374EAA" w:rsidRDefault="00374EAA" w:rsidP="00374EAA">
      <w:pPr>
        <w:autoSpaceDE w:val="0"/>
        <w:autoSpaceDN w:val="0"/>
        <w:rPr>
          <w:rFonts w:ascii="Arial" w:eastAsia="Times New Roman" w:hAnsi="Arial"/>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EXECUTIVE SUMMARY</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This report considers the erection of a two storey side and rear extension, a single storey front extension and a single storey rear extension to the existing dwelling.</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The key matters for assessment set out in this report include the following:</w:t>
      </w:r>
    </w:p>
    <w:p w:rsidR="00374EAA" w:rsidRPr="00374EAA" w:rsidRDefault="00374EAA" w:rsidP="00374EAA">
      <w:pPr>
        <w:numPr>
          <w:ilvl w:val="0"/>
          <w:numId w:val="4"/>
        </w:numPr>
        <w:autoSpaceDE w:val="0"/>
        <w:autoSpaceDN w:val="0"/>
        <w:ind w:left="1151" w:hanging="357"/>
        <w:jc w:val="both"/>
        <w:rPr>
          <w:rFonts w:ascii="Arial" w:eastAsia="Times New Roman" w:hAnsi="Arial"/>
          <w:sz w:val="24"/>
        </w:rPr>
      </w:pPr>
      <w:r w:rsidRPr="00374EAA">
        <w:rPr>
          <w:rFonts w:ascii="Arial" w:eastAsia="Times New Roman" w:hAnsi="Arial"/>
          <w:sz w:val="24"/>
        </w:rPr>
        <w:t xml:space="preserve">Design </w:t>
      </w:r>
    </w:p>
    <w:p w:rsidR="00374EAA" w:rsidRPr="00374EAA" w:rsidRDefault="00374EAA" w:rsidP="00374EAA">
      <w:pPr>
        <w:numPr>
          <w:ilvl w:val="0"/>
          <w:numId w:val="4"/>
        </w:numPr>
        <w:autoSpaceDE w:val="0"/>
        <w:autoSpaceDN w:val="0"/>
        <w:ind w:left="1151" w:hanging="357"/>
        <w:jc w:val="both"/>
        <w:rPr>
          <w:rFonts w:ascii="Arial" w:eastAsia="Times New Roman" w:hAnsi="Arial"/>
          <w:sz w:val="24"/>
        </w:rPr>
      </w:pPr>
      <w:r w:rsidRPr="00374EAA">
        <w:rPr>
          <w:rFonts w:ascii="Arial" w:eastAsia="Times New Roman" w:hAnsi="Arial"/>
          <w:sz w:val="24"/>
        </w:rPr>
        <w:t xml:space="preserve">Residential amenity </w:t>
      </w:r>
    </w:p>
    <w:p w:rsidR="00374EAA" w:rsidRPr="00374EAA" w:rsidRDefault="00374EAA" w:rsidP="00374EAA">
      <w:pPr>
        <w:numPr>
          <w:ilvl w:val="0"/>
          <w:numId w:val="4"/>
        </w:numPr>
        <w:autoSpaceDE w:val="0"/>
        <w:autoSpaceDN w:val="0"/>
        <w:ind w:left="1151" w:hanging="357"/>
        <w:jc w:val="both"/>
        <w:rPr>
          <w:rFonts w:ascii="Arial" w:eastAsia="Times New Roman" w:hAnsi="Arial"/>
          <w:sz w:val="24"/>
        </w:rPr>
      </w:pPr>
      <w:r w:rsidRPr="00374EAA">
        <w:rPr>
          <w:rFonts w:ascii="Arial" w:eastAsia="Times New Roman" w:hAnsi="Arial"/>
          <w:sz w:val="24"/>
        </w:rPr>
        <w:t>Trees</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lastRenderedPageBreak/>
        <w:t xml:space="preserve"> The development is considered acceptable in design terms and will not detract from the character and appearance of the existing dwelling or surrounding area. The proposal would not have a detrimental impact on the neighbouring properties or adversely affect trees that make a </w:t>
      </w:r>
      <w:r w:rsidR="00CF389F" w:rsidRPr="00374EAA">
        <w:rPr>
          <w:rFonts w:ascii="Arial" w:eastAsia="Times New Roman" w:hAnsi="Arial"/>
          <w:sz w:val="24"/>
        </w:rPr>
        <w:t>significant</w:t>
      </w:r>
      <w:r w:rsidRPr="00374EAA">
        <w:rPr>
          <w:rFonts w:ascii="Arial" w:eastAsia="Times New Roman" w:hAnsi="Arial"/>
          <w:sz w:val="24"/>
        </w:rPr>
        <w:t xml:space="preserve"> contribution to public amenity in the area. The proposal is consider</w:t>
      </w:r>
      <w:r w:rsidR="005F1383">
        <w:rPr>
          <w:rFonts w:ascii="Arial" w:eastAsia="Times New Roman" w:hAnsi="Arial"/>
          <w:sz w:val="24"/>
        </w:rPr>
        <w:t xml:space="preserve">ed to comply with </w:t>
      </w:r>
      <w:r w:rsidR="00A141B4">
        <w:rPr>
          <w:rFonts w:ascii="Arial" w:eastAsia="Times New Roman" w:hAnsi="Arial"/>
          <w:sz w:val="24"/>
        </w:rPr>
        <w:t xml:space="preserve">Policies </w:t>
      </w:r>
      <w:r w:rsidR="005F1383">
        <w:rPr>
          <w:rFonts w:ascii="Arial" w:eastAsia="Times New Roman" w:hAnsi="Arial"/>
          <w:sz w:val="24"/>
        </w:rPr>
        <w:t>CP1, CP6, CP8,</w:t>
      </w:r>
      <w:r w:rsidRPr="00374EAA">
        <w:rPr>
          <w:rFonts w:ascii="Arial" w:eastAsia="Times New Roman" w:hAnsi="Arial"/>
          <w:sz w:val="24"/>
        </w:rPr>
        <w:t xml:space="preserve"> CP10</w:t>
      </w:r>
      <w:r w:rsidR="005F1383">
        <w:rPr>
          <w:rFonts w:ascii="Arial" w:eastAsia="Times New Roman" w:hAnsi="Arial"/>
          <w:sz w:val="24"/>
        </w:rPr>
        <w:t>, NE15 and NE16</w:t>
      </w:r>
      <w:r w:rsidRPr="00374EAA">
        <w:rPr>
          <w:rFonts w:ascii="Arial" w:eastAsia="Times New Roman" w:hAnsi="Arial"/>
          <w:sz w:val="24"/>
        </w:rPr>
        <w:t xml:space="preserve"> of the Oxford Local Plan, HP9 and HP14 of the Sites and Housing Plan and CS18 of the Core Strategy and the NPPF. </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LEGAL AGREEMENT</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This application is not subject to a legal agreement.</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COMMUNITY INFRASTRUCTURE LEVY (CIL)</w:t>
      </w:r>
    </w:p>
    <w:p w:rsidR="00374EAA" w:rsidRPr="00374EAA" w:rsidRDefault="00374EAA" w:rsidP="00374EAA">
      <w:pPr>
        <w:numPr>
          <w:ilvl w:val="1"/>
          <w:numId w:val="1"/>
        </w:numPr>
        <w:autoSpaceDE w:val="0"/>
        <w:autoSpaceDN w:val="0"/>
        <w:spacing w:after="240"/>
        <w:jc w:val="both"/>
        <w:rPr>
          <w:rFonts w:ascii="Arial" w:eastAsia="Times New Roman" w:hAnsi="Arial"/>
          <w:b/>
          <w:sz w:val="24"/>
        </w:rPr>
      </w:pPr>
      <w:r w:rsidRPr="00374EAA">
        <w:rPr>
          <w:rFonts w:ascii="Arial" w:eastAsia="Times New Roman" w:hAnsi="Arial"/>
          <w:sz w:val="24"/>
        </w:rPr>
        <w:t xml:space="preserve">The proposal is not liable for CIL. </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SITE AND SURROUNDINGS</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 xml:space="preserve">The site is located within the </w:t>
      </w:r>
      <w:r w:rsidR="00CF389F">
        <w:rPr>
          <w:rFonts w:ascii="Arial" w:eastAsia="Times New Roman" w:hAnsi="Arial"/>
          <w:sz w:val="24"/>
        </w:rPr>
        <w:t>Wolvercote</w:t>
      </w:r>
      <w:r w:rsidRPr="00374EAA">
        <w:rPr>
          <w:rFonts w:ascii="Arial" w:eastAsia="Times New Roman" w:hAnsi="Arial"/>
          <w:sz w:val="24"/>
        </w:rPr>
        <w:t xml:space="preserve"> ward of Oxford to the north of the city. </w:t>
      </w:r>
      <w:r w:rsidR="00CF389F">
        <w:rPr>
          <w:rFonts w:ascii="Arial" w:eastAsia="Times New Roman" w:hAnsi="Arial"/>
          <w:sz w:val="24"/>
        </w:rPr>
        <w:t xml:space="preserve">The property is a two storey semi-detached dwelling with a garden to the front, side and rear. To the west is the attached property at 14 </w:t>
      </w:r>
      <w:proofErr w:type="spellStart"/>
      <w:r w:rsidR="00CF389F">
        <w:rPr>
          <w:rFonts w:ascii="Arial" w:eastAsia="Times New Roman" w:hAnsi="Arial"/>
          <w:sz w:val="24"/>
        </w:rPr>
        <w:t>Sparsey</w:t>
      </w:r>
      <w:proofErr w:type="spellEnd"/>
      <w:r w:rsidR="00CF389F">
        <w:rPr>
          <w:rFonts w:ascii="Arial" w:eastAsia="Times New Roman" w:hAnsi="Arial"/>
          <w:sz w:val="24"/>
        </w:rPr>
        <w:t xml:space="preserve"> Place and to the south are dwellings located on the north side of </w:t>
      </w:r>
      <w:proofErr w:type="gramStart"/>
      <w:r w:rsidR="00CF389F">
        <w:rPr>
          <w:rFonts w:ascii="Arial" w:eastAsia="Times New Roman" w:hAnsi="Arial"/>
          <w:sz w:val="24"/>
        </w:rPr>
        <w:t>Prior’s</w:t>
      </w:r>
      <w:proofErr w:type="gramEnd"/>
      <w:r w:rsidR="00CF389F">
        <w:rPr>
          <w:rFonts w:ascii="Arial" w:eastAsia="Times New Roman" w:hAnsi="Arial"/>
          <w:sz w:val="24"/>
        </w:rPr>
        <w:t xml:space="preserve"> Forge. The site is bounded to the west by the boundary of </w:t>
      </w:r>
      <w:proofErr w:type="spellStart"/>
      <w:r w:rsidR="00CF389F">
        <w:rPr>
          <w:rFonts w:ascii="Arial" w:eastAsia="Times New Roman" w:hAnsi="Arial"/>
          <w:sz w:val="24"/>
        </w:rPr>
        <w:t>Cutteslowe</w:t>
      </w:r>
      <w:proofErr w:type="spellEnd"/>
      <w:r w:rsidR="00CF389F">
        <w:rPr>
          <w:rFonts w:ascii="Arial" w:eastAsia="Times New Roman" w:hAnsi="Arial"/>
          <w:sz w:val="24"/>
        </w:rPr>
        <w:t xml:space="preserve"> Park, which includes a number of mature trees. </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 xml:space="preserve">See </w:t>
      </w:r>
      <w:r w:rsidR="00CF389F">
        <w:rPr>
          <w:rFonts w:ascii="Arial" w:eastAsia="Times New Roman" w:hAnsi="Arial"/>
          <w:sz w:val="24"/>
        </w:rPr>
        <w:t xml:space="preserve">location </w:t>
      </w:r>
      <w:r w:rsidRPr="00374EAA">
        <w:rPr>
          <w:rFonts w:ascii="Arial" w:eastAsia="Times New Roman" w:hAnsi="Arial"/>
          <w:sz w:val="24"/>
        </w:rPr>
        <w:t>plan below:</w:t>
      </w:r>
    </w:p>
    <w:p w:rsidR="00374EAA" w:rsidRPr="00374EAA" w:rsidRDefault="00374EAA" w:rsidP="00374EAA">
      <w:pPr>
        <w:rPr>
          <w:rFonts w:ascii="Arial" w:eastAsia="Times New Roman" w:hAnsi="Arial"/>
          <w:sz w:val="24"/>
        </w:rPr>
      </w:pPr>
      <w:r>
        <w:rPr>
          <w:rFonts w:ascii="Arial" w:eastAsia="Times New Roman" w:hAnsi="Arial"/>
          <w:noProof/>
          <w:sz w:val="24"/>
          <w:lang w:eastAsia="en-GB"/>
        </w:rPr>
        <w:drawing>
          <wp:inline distT="0" distB="0" distL="0" distR="0">
            <wp:extent cx="3048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96504A">
        <w:rPr>
          <w:noProof/>
          <w:lang w:eastAsia="en-GB"/>
        </w:rPr>
        <w:drawing>
          <wp:inline distT="0" distB="0" distL="0" distR="0" wp14:anchorId="5EA642D2" wp14:editId="5E0E0377">
            <wp:extent cx="4320891" cy="37956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4615"/>
                    <a:stretch/>
                  </pic:blipFill>
                  <pic:spPr bwMode="auto">
                    <a:xfrm>
                      <a:off x="0" y="0"/>
                      <a:ext cx="4325313" cy="3799508"/>
                    </a:xfrm>
                    <a:prstGeom prst="rect">
                      <a:avLst/>
                    </a:prstGeom>
                    <a:ln>
                      <a:noFill/>
                    </a:ln>
                    <a:extLst>
                      <a:ext uri="{53640926-AAD7-44D8-BBD7-CCE9431645EC}">
                        <a14:shadowObscured xmlns:a14="http://schemas.microsoft.com/office/drawing/2010/main"/>
                      </a:ext>
                    </a:extLst>
                  </pic:spPr>
                </pic:pic>
              </a:graphicData>
            </a:graphic>
          </wp:inline>
        </w:drawing>
      </w:r>
    </w:p>
    <w:p w:rsidR="00374EAA" w:rsidRPr="00374EAA" w:rsidRDefault="00374EAA" w:rsidP="00374EAA">
      <w:pPr>
        <w:rPr>
          <w:rFonts w:ascii="Arial" w:eastAsia="Times New Roman" w:hAnsi="Arial"/>
          <w:sz w:val="16"/>
          <w:szCs w:val="16"/>
        </w:rPr>
      </w:pPr>
      <w:r w:rsidRPr="00374EAA">
        <w:rPr>
          <w:rFonts w:ascii="Arial" w:eastAsia="Times New Roman" w:hAnsi="Arial"/>
          <w:sz w:val="16"/>
          <w:szCs w:val="16"/>
        </w:rPr>
        <w:t>© Crown Copyright and database right 2019.</w:t>
      </w:r>
    </w:p>
    <w:p w:rsidR="00374EAA" w:rsidRPr="00374EAA" w:rsidRDefault="00374EAA" w:rsidP="00374EAA">
      <w:pPr>
        <w:tabs>
          <w:tab w:val="center" w:pos="4153"/>
          <w:tab w:val="right" w:pos="8306"/>
        </w:tabs>
        <w:rPr>
          <w:rFonts w:ascii="Arial" w:eastAsia="Times New Roman" w:hAnsi="Arial"/>
          <w:sz w:val="24"/>
          <w:szCs w:val="16"/>
        </w:rPr>
      </w:pPr>
      <w:r w:rsidRPr="00374EAA">
        <w:rPr>
          <w:rFonts w:ascii="Arial" w:eastAsia="Times New Roman" w:hAnsi="Arial"/>
          <w:sz w:val="16"/>
          <w:szCs w:val="16"/>
        </w:rPr>
        <w:t>Ordnance Survey 100019348</w:t>
      </w:r>
    </w:p>
    <w:p w:rsidR="00374EAA" w:rsidRPr="00374EAA" w:rsidRDefault="00374EAA" w:rsidP="00374EAA">
      <w:pPr>
        <w:autoSpaceDE w:val="0"/>
        <w:autoSpaceDN w:val="0"/>
        <w:ind w:left="426"/>
        <w:jc w:val="both"/>
        <w:rPr>
          <w:rFonts w:ascii="Arial" w:eastAsia="Times New Roman" w:hAnsi="Arial"/>
          <w:bCs/>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lastRenderedPageBreak/>
        <w:t>PROPOSAL</w:t>
      </w:r>
    </w:p>
    <w:p w:rsidR="00374EAA" w:rsidRDefault="00CF389F" w:rsidP="00374EAA">
      <w:pPr>
        <w:numPr>
          <w:ilvl w:val="1"/>
          <w:numId w:val="1"/>
        </w:numPr>
        <w:autoSpaceDE w:val="0"/>
        <w:autoSpaceDN w:val="0"/>
        <w:spacing w:after="240"/>
        <w:jc w:val="both"/>
        <w:rPr>
          <w:rFonts w:ascii="Arial" w:eastAsia="Times New Roman" w:hAnsi="Arial"/>
          <w:sz w:val="24"/>
        </w:rPr>
      </w:pPr>
      <w:r>
        <w:rPr>
          <w:rFonts w:ascii="Arial" w:eastAsia="Times New Roman" w:hAnsi="Arial"/>
          <w:sz w:val="24"/>
        </w:rPr>
        <w:t xml:space="preserve">The application proposes the erection of a two storey side and rear extension, a single storey front extension and single storey rear extension to the existing dwelling. </w:t>
      </w:r>
      <w:r w:rsidR="00FE3C6D">
        <w:rPr>
          <w:rFonts w:ascii="Arial" w:eastAsia="Times New Roman" w:hAnsi="Arial"/>
          <w:sz w:val="24"/>
        </w:rPr>
        <w:t>The two storey side and rear extension would project beyond the original side elevation of the dwelling by 4 metres. It would have a depth at ground floor of 8.8 metres, and would be set back from the original front</w:t>
      </w:r>
      <w:r w:rsidR="005D49F9">
        <w:rPr>
          <w:rFonts w:ascii="Arial" w:eastAsia="Times New Roman" w:hAnsi="Arial"/>
          <w:sz w:val="24"/>
        </w:rPr>
        <w:t xml:space="preserve"> elevation of the dwelling by 4 </w:t>
      </w:r>
      <w:r w:rsidR="00FE3C6D">
        <w:rPr>
          <w:rFonts w:ascii="Arial" w:eastAsia="Times New Roman" w:hAnsi="Arial"/>
          <w:sz w:val="24"/>
        </w:rPr>
        <w:t>m</w:t>
      </w:r>
      <w:r w:rsidR="005D49F9">
        <w:rPr>
          <w:rFonts w:ascii="Arial" w:eastAsia="Times New Roman" w:hAnsi="Arial"/>
          <w:sz w:val="24"/>
        </w:rPr>
        <w:t>etres</w:t>
      </w:r>
      <w:r w:rsidR="00FE3C6D">
        <w:rPr>
          <w:rFonts w:ascii="Arial" w:eastAsia="Times New Roman" w:hAnsi="Arial"/>
          <w:sz w:val="24"/>
        </w:rPr>
        <w:t xml:space="preserve"> and project beyond the original rear elevation of the dwelling by 3.9 metres. At first floor the extension would </w:t>
      </w:r>
      <w:r w:rsidR="00A141B4">
        <w:rPr>
          <w:rFonts w:ascii="Arial" w:eastAsia="Times New Roman" w:hAnsi="Arial"/>
          <w:sz w:val="24"/>
        </w:rPr>
        <w:t>have a reduced depth</w:t>
      </w:r>
      <w:r w:rsidR="00FE3C6D">
        <w:rPr>
          <w:rFonts w:ascii="Arial" w:eastAsia="Times New Roman" w:hAnsi="Arial"/>
          <w:sz w:val="24"/>
        </w:rPr>
        <w:t xml:space="preserve"> </w:t>
      </w:r>
      <w:r w:rsidR="00A9445B">
        <w:rPr>
          <w:rFonts w:ascii="Arial" w:eastAsia="Times New Roman" w:hAnsi="Arial"/>
          <w:sz w:val="24"/>
        </w:rPr>
        <w:t>of</w:t>
      </w:r>
      <w:r w:rsidR="00FE3C6D">
        <w:rPr>
          <w:rFonts w:ascii="Arial" w:eastAsia="Times New Roman" w:hAnsi="Arial"/>
          <w:sz w:val="24"/>
        </w:rPr>
        <w:t xml:space="preserve"> 7.8 metres and project beyond the original </w:t>
      </w:r>
      <w:r w:rsidR="005F1383">
        <w:rPr>
          <w:rFonts w:ascii="Arial" w:eastAsia="Times New Roman" w:hAnsi="Arial"/>
          <w:sz w:val="24"/>
        </w:rPr>
        <w:t>r</w:t>
      </w:r>
      <w:r w:rsidR="00FE3C6D">
        <w:rPr>
          <w:rFonts w:ascii="Arial" w:eastAsia="Times New Roman" w:hAnsi="Arial"/>
          <w:sz w:val="24"/>
        </w:rPr>
        <w:t xml:space="preserve">ear elevation by 2.9 metres. The side extension would have an eaves height of 4.2 metres and a ridge height of 7.1 metres, which would be set down from the ridge of the main roof by 0.45 metres. </w:t>
      </w:r>
    </w:p>
    <w:p w:rsidR="00FE3C6D" w:rsidRDefault="00FE3C6D" w:rsidP="00374EAA">
      <w:pPr>
        <w:numPr>
          <w:ilvl w:val="1"/>
          <w:numId w:val="1"/>
        </w:numPr>
        <w:autoSpaceDE w:val="0"/>
        <w:autoSpaceDN w:val="0"/>
        <w:spacing w:after="240"/>
        <w:jc w:val="both"/>
        <w:rPr>
          <w:rFonts w:ascii="Arial" w:eastAsia="Times New Roman" w:hAnsi="Arial"/>
          <w:sz w:val="24"/>
        </w:rPr>
      </w:pPr>
      <w:r>
        <w:rPr>
          <w:rFonts w:ascii="Arial" w:eastAsia="Times New Roman" w:hAnsi="Arial"/>
          <w:sz w:val="24"/>
        </w:rPr>
        <w:t>The proposed single storey rear extension would project beyond the original rear elevation of the dwelling by 1.1 metre</w:t>
      </w:r>
      <w:r w:rsidR="00915364">
        <w:rPr>
          <w:rFonts w:ascii="Arial" w:eastAsia="Times New Roman" w:hAnsi="Arial"/>
          <w:sz w:val="24"/>
        </w:rPr>
        <w:t>s</w:t>
      </w:r>
      <w:r>
        <w:rPr>
          <w:rFonts w:ascii="Arial" w:eastAsia="Times New Roman" w:hAnsi="Arial"/>
          <w:sz w:val="24"/>
        </w:rPr>
        <w:t xml:space="preserve"> across the </w:t>
      </w:r>
      <w:r w:rsidR="004D7C07">
        <w:rPr>
          <w:rFonts w:ascii="Arial" w:eastAsia="Times New Roman" w:hAnsi="Arial"/>
          <w:sz w:val="24"/>
        </w:rPr>
        <w:t>full width of the dwelling (5.1</w:t>
      </w:r>
      <w:r>
        <w:rPr>
          <w:rFonts w:ascii="Arial" w:eastAsia="Times New Roman" w:hAnsi="Arial"/>
          <w:sz w:val="24"/>
        </w:rPr>
        <w:t xml:space="preserve"> metres). It would have a lean-to roof with an eaves height of 2.5 metres. The proposed single storey front extension would, at its greatest extent, project beyond the original front elevation of the dwelling by 1.4 metres. It would also have a lean-to roof with an eaves height of 2.5 metres. The proposed extensions would be finished in brick with concrete tiles to the roof to match the existing dwelling. </w:t>
      </w:r>
    </w:p>
    <w:p w:rsidR="000A042D" w:rsidRPr="00374EAA" w:rsidRDefault="000A042D" w:rsidP="00374EAA">
      <w:pPr>
        <w:numPr>
          <w:ilvl w:val="1"/>
          <w:numId w:val="1"/>
        </w:numPr>
        <w:autoSpaceDE w:val="0"/>
        <w:autoSpaceDN w:val="0"/>
        <w:spacing w:after="240"/>
        <w:jc w:val="both"/>
        <w:rPr>
          <w:rFonts w:ascii="Arial" w:eastAsia="Times New Roman" w:hAnsi="Arial"/>
          <w:sz w:val="24"/>
        </w:rPr>
      </w:pPr>
      <w:r>
        <w:rPr>
          <w:rFonts w:ascii="Arial" w:eastAsia="Times New Roman" w:hAnsi="Arial"/>
          <w:sz w:val="24"/>
        </w:rPr>
        <w:t xml:space="preserve">Officers note that amendments to the originally submitted scheme were sought following concerns about the impact of the proposed side extension on trees along the boundary of </w:t>
      </w:r>
      <w:proofErr w:type="spellStart"/>
      <w:r>
        <w:rPr>
          <w:rFonts w:ascii="Arial" w:eastAsia="Times New Roman" w:hAnsi="Arial"/>
          <w:sz w:val="24"/>
        </w:rPr>
        <w:t>Cutteslowe</w:t>
      </w:r>
      <w:proofErr w:type="spellEnd"/>
      <w:r>
        <w:rPr>
          <w:rFonts w:ascii="Arial" w:eastAsia="Times New Roman" w:hAnsi="Arial"/>
          <w:sz w:val="24"/>
        </w:rPr>
        <w:t xml:space="preserve"> Park. The two storey side extension was moved further from the front elevation of the main dwelling in order to address these concerns. </w:t>
      </w:r>
      <w:r w:rsidR="00E06F5E">
        <w:rPr>
          <w:rFonts w:ascii="Arial" w:eastAsia="Times New Roman" w:hAnsi="Arial"/>
          <w:sz w:val="24"/>
        </w:rPr>
        <w:t>The application was re-advertised following the submission of revised plans</w:t>
      </w:r>
      <w:r>
        <w:rPr>
          <w:rFonts w:ascii="Arial" w:eastAsia="Times New Roman" w:hAnsi="Arial"/>
          <w:sz w:val="24"/>
        </w:rPr>
        <w:t xml:space="preserve">. </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RELEVANT PLANNING HISTORY</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374EAA" w:rsidRPr="00374EAA" w:rsidTr="00454A1C">
        <w:tc>
          <w:tcPr>
            <w:tcW w:w="8844" w:type="dxa"/>
          </w:tcPr>
          <w:p w:rsidR="00CF389F" w:rsidRDefault="00CF389F" w:rsidP="00374EAA">
            <w:pPr>
              <w:rPr>
                <w:rFonts w:ascii="Arial" w:eastAsia="MS Mincho" w:hAnsi="Arial"/>
                <w:sz w:val="24"/>
              </w:rPr>
            </w:pPr>
          </w:p>
          <w:p w:rsidR="00374EAA" w:rsidRPr="00374EAA" w:rsidRDefault="00CF389F" w:rsidP="00374EAA">
            <w:pPr>
              <w:rPr>
                <w:rFonts w:ascii="Arial" w:eastAsia="MS Mincho" w:hAnsi="Arial"/>
                <w:sz w:val="24"/>
                <w:lang w:val="fr-FR"/>
              </w:rPr>
            </w:pPr>
            <w:r>
              <w:rPr>
                <w:rFonts w:ascii="Arial" w:eastAsia="MS Mincho" w:hAnsi="Arial"/>
                <w:sz w:val="24"/>
              </w:rPr>
              <w:t>No relevant planning history.</w:t>
            </w:r>
          </w:p>
          <w:p w:rsidR="00374EAA" w:rsidRPr="00374EAA" w:rsidRDefault="00374EAA" w:rsidP="00374EAA">
            <w:pPr>
              <w:autoSpaceDE w:val="0"/>
              <w:autoSpaceDN w:val="0"/>
              <w:jc w:val="both"/>
              <w:rPr>
                <w:rFonts w:ascii="Arial" w:hAnsi="Arial"/>
                <w:b/>
                <w:bCs/>
                <w:sz w:val="24"/>
                <w:lang w:val="fr-FR"/>
              </w:rPr>
            </w:pPr>
          </w:p>
        </w:tc>
      </w:tr>
    </w:tbl>
    <w:p w:rsidR="00374EAA" w:rsidRPr="00374EAA" w:rsidRDefault="00374EAA" w:rsidP="00374EAA">
      <w:pPr>
        <w:autoSpaceDE w:val="0"/>
        <w:autoSpaceDN w:val="0"/>
        <w:rPr>
          <w:rFonts w:ascii="Arial" w:eastAsia="Times New Roman" w:hAnsi="Arial"/>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RELEVANT PLANNING POLICY</w:t>
      </w:r>
    </w:p>
    <w:p w:rsidR="00374EAA" w:rsidRPr="00374EAA" w:rsidRDefault="00374EAA" w:rsidP="00374EAA">
      <w:pPr>
        <w:numPr>
          <w:ilvl w:val="1"/>
          <w:numId w:val="1"/>
        </w:numPr>
        <w:autoSpaceDE w:val="0"/>
        <w:autoSpaceDN w:val="0"/>
        <w:spacing w:after="240"/>
        <w:jc w:val="both"/>
        <w:rPr>
          <w:rFonts w:ascii="Arial" w:eastAsia="Times New Roman" w:hAnsi="Arial"/>
          <w:b/>
          <w:sz w:val="24"/>
        </w:rPr>
      </w:pPr>
      <w:r w:rsidRPr="00374EAA">
        <w:rPr>
          <w:rFonts w:ascii="Arial" w:eastAsia="Times New Roman" w:hAnsi="Arial"/>
          <w:sz w:val="24"/>
        </w:rPr>
        <w:t>The following policies are relevant to the application:</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1559"/>
        <w:gridCol w:w="1560"/>
        <w:gridCol w:w="1559"/>
        <w:gridCol w:w="1366"/>
      </w:tblGrid>
      <w:tr w:rsidR="00CF389F" w:rsidRPr="00374EAA" w:rsidTr="00CF389F">
        <w:trPr>
          <w:trHeight w:val="573"/>
          <w:jc w:val="center"/>
        </w:trPr>
        <w:tc>
          <w:tcPr>
            <w:tcW w:w="180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Topic</w:t>
            </w:r>
          </w:p>
        </w:tc>
        <w:tc>
          <w:tcPr>
            <w:tcW w:w="1559" w:type="dxa"/>
            <w:shd w:val="clear" w:color="auto" w:fill="548DD4"/>
            <w:hideMark/>
          </w:tcPr>
          <w:p w:rsidR="00CF389F" w:rsidRPr="00374EAA" w:rsidRDefault="00CF389F" w:rsidP="00374EAA">
            <w:pPr>
              <w:autoSpaceDE w:val="0"/>
              <w:autoSpaceDN w:val="0"/>
              <w:rPr>
                <w:rFonts w:ascii="Arial" w:eastAsia="Times New Roman" w:hAnsi="Arial"/>
                <w:b/>
                <w:bCs/>
                <w:color w:val="FFFFFF"/>
                <w:sz w:val="20"/>
                <w:szCs w:val="20"/>
              </w:rPr>
            </w:pPr>
            <w:r w:rsidRPr="00374EAA">
              <w:rPr>
                <w:rFonts w:ascii="Arial" w:eastAsia="Times New Roman" w:hAnsi="Arial"/>
                <w:b/>
                <w:color w:val="FFFFFF"/>
                <w:sz w:val="20"/>
                <w:szCs w:val="20"/>
              </w:rPr>
              <w:t>National Planning Policy Framework</w:t>
            </w:r>
          </w:p>
        </w:tc>
        <w:tc>
          <w:tcPr>
            <w:tcW w:w="1559" w:type="dxa"/>
            <w:shd w:val="clear" w:color="auto" w:fill="548DD4"/>
            <w:hideMark/>
          </w:tcPr>
          <w:p w:rsidR="00CF389F" w:rsidRPr="00374EAA" w:rsidRDefault="00CF389F" w:rsidP="00374EAA">
            <w:pPr>
              <w:autoSpaceDE w:val="0"/>
              <w:autoSpaceDN w:val="0"/>
              <w:rPr>
                <w:rFonts w:ascii="Arial" w:eastAsia="Times New Roman" w:hAnsi="Arial"/>
                <w:b/>
                <w:bCs/>
                <w:color w:val="FFFFFF"/>
                <w:sz w:val="20"/>
                <w:szCs w:val="20"/>
              </w:rPr>
            </w:pPr>
            <w:r w:rsidRPr="00374EAA">
              <w:rPr>
                <w:rFonts w:ascii="Arial" w:eastAsia="Times New Roman" w:hAnsi="Arial"/>
                <w:b/>
                <w:color w:val="FFFFFF"/>
                <w:sz w:val="20"/>
                <w:szCs w:val="20"/>
              </w:rPr>
              <w:t>Local Plan</w:t>
            </w:r>
          </w:p>
        </w:tc>
        <w:tc>
          <w:tcPr>
            <w:tcW w:w="1560"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Core Strategy</w:t>
            </w:r>
          </w:p>
        </w:tc>
        <w:tc>
          <w:tcPr>
            <w:tcW w:w="155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Sites and Housing Plan</w:t>
            </w:r>
          </w:p>
        </w:tc>
        <w:tc>
          <w:tcPr>
            <w:tcW w:w="1366"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Pr>
                <w:rFonts w:ascii="Arial" w:eastAsia="Times New Roman" w:hAnsi="Arial"/>
                <w:b/>
                <w:color w:val="FFFFFF"/>
                <w:sz w:val="20"/>
                <w:szCs w:val="20"/>
              </w:rPr>
              <w:t>Emerging Oxford Local Plan</w:t>
            </w:r>
          </w:p>
        </w:tc>
      </w:tr>
      <w:tr w:rsidR="00CF389F" w:rsidRPr="00374EAA" w:rsidTr="00CF389F">
        <w:trPr>
          <w:trHeight w:val="900"/>
          <w:jc w:val="center"/>
        </w:trPr>
        <w:tc>
          <w:tcPr>
            <w:tcW w:w="180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Design</w:t>
            </w:r>
          </w:p>
        </w:tc>
        <w:tc>
          <w:tcPr>
            <w:tcW w:w="1559" w:type="dxa"/>
          </w:tcPr>
          <w:p w:rsidR="00CF389F" w:rsidRPr="00374EAA" w:rsidRDefault="00CF389F" w:rsidP="00374EAA">
            <w:pPr>
              <w:autoSpaceDE w:val="0"/>
              <w:autoSpaceDN w:val="0"/>
              <w:jc w:val="both"/>
              <w:rPr>
                <w:rFonts w:ascii="Arial" w:eastAsia="Times New Roman" w:hAnsi="Arial"/>
                <w:bCs/>
                <w:sz w:val="20"/>
                <w:szCs w:val="20"/>
              </w:rPr>
            </w:pPr>
            <w:r>
              <w:rPr>
                <w:rFonts w:ascii="Arial" w:eastAsia="Times New Roman" w:hAnsi="Arial"/>
                <w:bCs/>
                <w:sz w:val="20"/>
                <w:szCs w:val="20"/>
              </w:rPr>
              <w:t>117, 118, 122, 127</w:t>
            </w:r>
          </w:p>
        </w:tc>
        <w:tc>
          <w:tcPr>
            <w:tcW w:w="1559" w:type="dxa"/>
          </w:tcPr>
          <w:p w:rsidR="00CF389F" w:rsidRPr="00374EAA" w:rsidRDefault="00CF389F" w:rsidP="00374EAA">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CP1</w:t>
            </w:r>
          </w:p>
          <w:p w:rsidR="00CF389F" w:rsidRPr="00374EAA" w:rsidRDefault="00CF389F" w:rsidP="00374EAA">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CP6</w:t>
            </w:r>
          </w:p>
          <w:p w:rsidR="00CF389F" w:rsidRPr="00374EAA" w:rsidRDefault="00CF389F" w:rsidP="00374EAA">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CP8</w:t>
            </w:r>
          </w:p>
          <w:p w:rsidR="00CF389F" w:rsidRPr="00374EAA" w:rsidRDefault="00CF389F" w:rsidP="001A39BE">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CP10</w:t>
            </w:r>
          </w:p>
        </w:tc>
        <w:tc>
          <w:tcPr>
            <w:tcW w:w="1560" w:type="dxa"/>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CS18</w:t>
            </w:r>
          </w:p>
          <w:p w:rsidR="00CF389F" w:rsidRPr="00374EAA" w:rsidRDefault="00CF389F" w:rsidP="00374EAA">
            <w:pPr>
              <w:autoSpaceDE w:val="0"/>
              <w:autoSpaceDN w:val="0"/>
              <w:jc w:val="both"/>
              <w:rPr>
                <w:rFonts w:ascii="Arial" w:eastAsia="Times New Roman" w:hAnsi="Arial"/>
                <w:bCs/>
                <w:iCs/>
                <w:sz w:val="20"/>
                <w:szCs w:val="20"/>
              </w:rPr>
            </w:pPr>
          </w:p>
        </w:tc>
        <w:tc>
          <w:tcPr>
            <w:tcW w:w="1559" w:type="dxa"/>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HP9</w:t>
            </w:r>
          </w:p>
          <w:p w:rsidR="00CF389F" w:rsidRPr="00374EAA" w:rsidRDefault="00CF389F" w:rsidP="00374EAA">
            <w:pPr>
              <w:autoSpaceDE w:val="0"/>
              <w:autoSpaceDN w:val="0"/>
              <w:jc w:val="both"/>
              <w:rPr>
                <w:rFonts w:ascii="Arial" w:eastAsia="Times New Roman" w:hAnsi="Arial"/>
                <w:bCs/>
                <w:iCs/>
                <w:sz w:val="20"/>
                <w:szCs w:val="20"/>
              </w:rPr>
            </w:pPr>
          </w:p>
        </w:tc>
        <w:tc>
          <w:tcPr>
            <w:tcW w:w="1366" w:type="dxa"/>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DH1</w:t>
            </w:r>
          </w:p>
        </w:tc>
      </w:tr>
      <w:tr w:rsidR="00CF389F" w:rsidRPr="00374EAA" w:rsidTr="00CF389F">
        <w:trPr>
          <w:trHeight w:val="900"/>
          <w:jc w:val="center"/>
        </w:trPr>
        <w:tc>
          <w:tcPr>
            <w:tcW w:w="180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lastRenderedPageBreak/>
              <w:t>Natural environment</w:t>
            </w:r>
          </w:p>
        </w:tc>
        <w:tc>
          <w:tcPr>
            <w:tcW w:w="1559" w:type="dxa"/>
            <w:shd w:val="clear" w:color="auto" w:fill="D3DFEE"/>
          </w:tcPr>
          <w:p w:rsidR="00CF389F" w:rsidRPr="00374EAA" w:rsidRDefault="00CF389F" w:rsidP="008766E8">
            <w:pPr>
              <w:autoSpaceDE w:val="0"/>
              <w:autoSpaceDN w:val="0"/>
              <w:jc w:val="both"/>
              <w:rPr>
                <w:rFonts w:ascii="Arial" w:eastAsia="Times New Roman" w:hAnsi="Arial"/>
                <w:bCs/>
                <w:sz w:val="20"/>
                <w:szCs w:val="20"/>
              </w:rPr>
            </w:pPr>
          </w:p>
        </w:tc>
        <w:tc>
          <w:tcPr>
            <w:tcW w:w="1559" w:type="dxa"/>
            <w:shd w:val="clear" w:color="auto" w:fill="D3DFEE"/>
          </w:tcPr>
          <w:p w:rsidR="00CF389F" w:rsidRDefault="00CF389F" w:rsidP="00374EAA">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NE15</w:t>
            </w:r>
          </w:p>
          <w:p w:rsidR="00CF389F" w:rsidRPr="00374EAA" w:rsidRDefault="006D5CDD"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NE16</w:t>
            </w:r>
          </w:p>
        </w:tc>
        <w:tc>
          <w:tcPr>
            <w:tcW w:w="1560"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p>
        </w:tc>
        <w:tc>
          <w:tcPr>
            <w:tcW w:w="1559"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p>
        </w:tc>
        <w:tc>
          <w:tcPr>
            <w:tcW w:w="1366"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G8</w:t>
            </w:r>
          </w:p>
        </w:tc>
      </w:tr>
      <w:tr w:rsidR="00CF389F" w:rsidRPr="00374EAA" w:rsidTr="00CF389F">
        <w:trPr>
          <w:trHeight w:val="600"/>
          <w:jc w:val="center"/>
        </w:trPr>
        <w:tc>
          <w:tcPr>
            <w:tcW w:w="180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Social and community</w:t>
            </w:r>
          </w:p>
        </w:tc>
        <w:tc>
          <w:tcPr>
            <w:tcW w:w="1559" w:type="dxa"/>
          </w:tcPr>
          <w:p w:rsidR="00CF389F" w:rsidRPr="00374EAA" w:rsidRDefault="00CF389F" w:rsidP="00374EAA">
            <w:pPr>
              <w:autoSpaceDE w:val="0"/>
              <w:autoSpaceDN w:val="0"/>
              <w:jc w:val="both"/>
              <w:rPr>
                <w:rFonts w:ascii="Arial" w:eastAsia="Times New Roman" w:hAnsi="Arial"/>
                <w:bCs/>
                <w:sz w:val="20"/>
                <w:szCs w:val="20"/>
              </w:rPr>
            </w:pPr>
          </w:p>
        </w:tc>
        <w:tc>
          <w:tcPr>
            <w:tcW w:w="1559" w:type="dxa"/>
          </w:tcPr>
          <w:p w:rsidR="00CF389F" w:rsidRPr="00374EAA" w:rsidRDefault="00CF389F" w:rsidP="00374EAA">
            <w:pPr>
              <w:autoSpaceDE w:val="0"/>
              <w:autoSpaceDN w:val="0"/>
              <w:jc w:val="both"/>
              <w:rPr>
                <w:rFonts w:ascii="Arial" w:eastAsia="Times New Roman" w:hAnsi="Arial"/>
                <w:bCs/>
                <w:iCs/>
                <w:sz w:val="20"/>
                <w:szCs w:val="20"/>
              </w:rPr>
            </w:pPr>
          </w:p>
        </w:tc>
        <w:tc>
          <w:tcPr>
            <w:tcW w:w="1560" w:type="dxa"/>
          </w:tcPr>
          <w:p w:rsidR="00CF389F" w:rsidRPr="00374EAA" w:rsidRDefault="00CF389F" w:rsidP="00374EAA">
            <w:pPr>
              <w:autoSpaceDE w:val="0"/>
              <w:autoSpaceDN w:val="0"/>
              <w:jc w:val="both"/>
              <w:rPr>
                <w:rFonts w:ascii="Arial" w:eastAsia="Times New Roman" w:hAnsi="Arial"/>
                <w:bCs/>
                <w:iCs/>
                <w:sz w:val="20"/>
                <w:szCs w:val="20"/>
              </w:rPr>
            </w:pPr>
          </w:p>
        </w:tc>
        <w:tc>
          <w:tcPr>
            <w:tcW w:w="1559" w:type="dxa"/>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HP14</w:t>
            </w:r>
          </w:p>
          <w:p w:rsidR="00CF389F" w:rsidRPr="00374EAA" w:rsidRDefault="00CF389F" w:rsidP="00374EAA">
            <w:pPr>
              <w:autoSpaceDE w:val="0"/>
              <w:autoSpaceDN w:val="0"/>
              <w:jc w:val="both"/>
              <w:rPr>
                <w:rFonts w:ascii="Arial" w:eastAsia="Times New Roman" w:hAnsi="Arial"/>
                <w:bCs/>
                <w:iCs/>
                <w:sz w:val="20"/>
                <w:szCs w:val="20"/>
              </w:rPr>
            </w:pPr>
          </w:p>
        </w:tc>
        <w:tc>
          <w:tcPr>
            <w:tcW w:w="1366" w:type="dxa"/>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H14</w:t>
            </w:r>
          </w:p>
        </w:tc>
      </w:tr>
      <w:tr w:rsidR="00CF389F" w:rsidRPr="00374EAA" w:rsidTr="00CF389F">
        <w:trPr>
          <w:trHeight w:val="600"/>
          <w:jc w:val="center"/>
        </w:trPr>
        <w:tc>
          <w:tcPr>
            <w:tcW w:w="1809" w:type="dxa"/>
            <w:shd w:val="clear" w:color="auto" w:fill="548DD4"/>
          </w:tcPr>
          <w:p w:rsidR="00CF389F" w:rsidRPr="00374EAA" w:rsidRDefault="00CF389F" w:rsidP="00374EAA">
            <w:pPr>
              <w:autoSpaceDE w:val="0"/>
              <w:autoSpaceDN w:val="0"/>
              <w:rPr>
                <w:rFonts w:ascii="Arial" w:eastAsia="Times New Roman" w:hAnsi="Arial"/>
                <w:b/>
                <w:color w:val="FFFFFF"/>
                <w:sz w:val="20"/>
                <w:szCs w:val="20"/>
              </w:rPr>
            </w:pPr>
            <w:r w:rsidRPr="00374EAA">
              <w:rPr>
                <w:rFonts w:ascii="Arial" w:eastAsia="Times New Roman" w:hAnsi="Arial"/>
                <w:b/>
                <w:color w:val="FFFFFF"/>
                <w:sz w:val="20"/>
                <w:szCs w:val="20"/>
              </w:rPr>
              <w:t>Miscellaneous</w:t>
            </w:r>
          </w:p>
        </w:tc>
        <w:tc>
          <w:tcPr>
            <w:tcW w:w="1559" w:type="dxa"/>
            <w:shd w:val="clear" w:color="auto" w:fill="D3DFEE"/>
          </w:tcPr>
          <w:p w:rsidR="00CF389F" w:rsidRPr="00374EAA" w:rsidRDefault="00CF389F" w:rsidP="00374EAA">
            <w:pPr>
              <w:autoSpaceDE w:val="0"/>
              <w:autoSpaceDN w:val="0"/>
              <w:jc w:val="both"/>
              <w:rPr>
                <w:rFonts w:ascii="Arial" w:eastAsia="Times New Roman" w:hAnsi="Arial"/>
                <w:bCs/>
                <w:sz w:val="20"/>
                <w:szCs w:val="20"/>
              </w:rPr>
            </w:pPr>
            <w:r>
              <w:rPr>
                <w:rFonts w:ascii="Arial" w:eastAsia="Times New Roman" w:hAnsi="Arial"/>
                <w:bCs/>
                <w:sz w:val="20"/>
                <w:szCs w:val="20"/>
              </w:rPr>
              <w:t>38, 47</w:t>
            </w:r>
          </w:p>
        </w:tc>
        <w:tc>
          <w:tcPr>
            <w:tcW w:w="1559"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r>
              <w:rPr>
                <w:rFonts w:ascii="Arial" w:eastAsia="Times New Roman" w:hAnsi="Arial"/>
                <w:bCs/>
                <w:iCs/>
                <w:sz w:val="20"/>
                <w:szCs w:val="20"/>
              </w:rPr>
              <w:t>CP</w:t>
            </w:r>
            <w:r w:rsidRPr="00374EAA">
              <w:rPr>
                <w:rFonts w:ascii="Arial" w:eastAsia="Times New Roman" w:hAnsi="Arial"/>
                <w:bCs/>
                <w:iCs/>
                <w:sz w:val="20"/>
                <w:szCs w:val="20"/>
              </w:rPr>
              <w:t>13</w:t>
            </w:r>
          </w:p>
          <w:p w:rsidR="00CF389F" w:rsidRPr="00374EAA" w:rsidRDefault="00CF389F" w:rsidP="00CF389F">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 xml:space="preserve"> </w:t>
            </w:r>
          </w:p>
          <w:p w:rsidR="00CF389F" w:rsidRPr="00374EAA" w:rsidRDefault="00CF389F" w:rsidP="00374EAA">
            <w:pPr>
              <w:autoSpaceDE w:val="0"/>
              <w:autoSpaceDN w:val="0"/>
              <w:jc w:val="both"/>
              <w:rPr>
                <w:rFonts w:ascii="Arial" w:eastAsia="Times New Roman" w:hAnsi="Arial"/>
                <w:bCs/>
                <w:iCs/>
                <w:sz w:val="20"/>
                <w:szCs w:val="20"/>
              </w:rPr>
            </w:pPr>
          </w:p>
        </w:tc>
        <w:tc>
          <w:tcPr>
            <w:tcW w:w="1560"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p>
        </w:tc>
        <w:tc>
          <w:tcPr>
            <w:tcW w:w="1559"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r w:rsidRPr="00374EAA">
              <w:rPr>
                <w:rFonts w:ascii="Arial" w:eastAsia="Times New Roman" w:hAnsi="Arial"/>
                <w:bCs/>
                <w:iCs/>
                <w:sz w:val="20"/>
                <w:szCs w:val="20"/>
              </w:rPr>
              <w:t>MP1</w:t>
            </w:r>
          </w:p>
        </w:tc>
        <w:tc>
          <w:tcPr>
            <w:tcW w:w="1366" w:type="dxa"/>
            <w:shd w:val="clear" w:color="auto" w:fill="D3DFEE"/>
          </w:tcPr>
          <w:p w:rsidR="00CF389F" w:rsidRPr="00374EAA" w:rsidRDefault="00CF389F" w:rsidP="00374EAA">
            <w:pPr>
              <w:autoSpaceDE w:val="0"/>
              <w:autoSpaceDN w:val="0"/>
              <w:jc w:val="both"/>
              <w:rPr>
                <w:rFonts w:ascii="Arial" w:eastAsia="Times New Roman" w:hAnsi="Arial"/>
                <w:bCs/>
                <w:iCs/>
                <w:sz w:val="20"/>
                <w:szCs w:val="20"/>
              </w:rPr>
            </w:pPr>
          </w:p>
        </w:tc>
      </w:tr>
    </w:tbl>
    <w:p w:rsidR="00374EAA" w:rsidRPr="00374EAA" w:rsidRDefault="00374EAA" w:rsidP="00374EAA">
      <w:pPr>
        <w:autoSpaceDE w:val="0"/>
        <w:autoSpaceDN w:val="0"/>
        <w:rPr>
          <w:rFonts w:ascii="Arial" w:eastAsia="Times New Roman" w:hAnsi="Arial"/>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CONSULTATION RESPONSES</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 xml:space="preserve">Site notices were displayed around the application site on </w:t>
      </w:r>
      <w:r w:rsidR="008766E8">
        <w:rPr>
          <w:rFonts w:ascii="Arial" w:eastAsia="Times New Roman" w:hAnsi="Arial"/>
          <w:sz w:val="24"/>
        </w:rPr>
        <w:t>6</w:t>
      </w:r>
      <w:r w:rsidR="008766E8" w:rsidRPr="008766E8">
        <w:rPr>
          <w:rFonts w:ascii="Arial" w:eastAsia="Times New Roman" w:hAnsi="Arial"/>
          <w:sz w:val="24"/>
          <w:vertAlign w:val="superscript"/>
        </w:rPr>
        <w:t>th</w:t>
      </w:r>
      <w:r w:rsidR="008766E8">
        <w:rPr>
          <w:rFonts w:ascii="Arial" w:eastAsia="Times New Roman" w:hAnsi="Arial"/>
          <w:sz w:val="24"/>
        </w:rPr>
        <w:t xml:space="preserve"> June 2019</w:t>
      </w:r>
      <w:r w:rsidRPr="00374EAA">
        <w:rPr>
          <w:rFonts w:ascii="Arial" w:eastAsia="Times New Roman" w:hAnsi="Arial"/>
          <w:sz w:val="24"/>
        </w:rPr>
        <w:t xml:space="preserve"> and an advertisement was published in The Oxford Times newspaper on 20th June 2019.</w:t>
      </w:r>
      <w:r w:rsidR="00E06F5E">
        <w:rPr>
          <w:rFonts w:ascii="Arial" w:eastAsia="Times New Roman" w:hAnsi="Arial"/>
          <w:sz w:val="24"/>
        </w:rPr>
        <w:t xml:space="preserve"> Further site notices were displayed around the application site on 1</w:t>
      </w:r>
      <w:r w:rsidR="00E06F5E" w:rsidRPr="00E06F5E">
        <w:rPr>
          <w:rFonts w:ascii="Arial" w:eastAsia="Times New Roman" w:hAnsi="Arial"/>
          <w:sz w:val="24"/>
          <w:vertAlign w:val="superscript"/>
        </w:rPr>
        <w:t>st</w:t>
      </w:r>
      <w:r w:rsidR="00E06F5E">
        <w:rPr>
          <w:rFonts w:ascii="Arial" w:eastAsia="Times New Roman" w:hAnsi="Arial"/>
          <w:sz w:val="24"/>
        </w:rPr>
        <w:t xml:space="preserve"> July 2019 following the submission of amended plans.</w:t>
      </w:r>
    </w:p>
    <w:p w:rsidR="00374EAA" w:rsidRPr="00374EAA" w:rsidRDefault="00374EAA" w:rsidP="00374EAA">
      <w:pPr>
        <w:autoSpaceDE w:val="0"/>
        <w:autoSpaceDN w:val="0"/>
        <w:spacing w:after="240"/>
        <w:ind w:firstLine="709"/>
        <w:rPr>
          <w:rFonts w:ascii="Arial" w:eastAsia="Times New Roman" w:hAnsi="Arial"/>
          <w:b/>
          <w:sz w:val="24"/>
        </w:rPr>
      </w:pPr>
      <w:r w:rsidRPr="00374EAA">
        <w:rPr>
          <w:rFonts w:ascii="Arial" w:eastAsia="Times New Roman" w:hAnsi="Arial"/>
          <w:b/>
          <w:sz w:val="24"/>
        </w:rPr>
        <w:t>Statutory and non-statutory consultees</w:t>
      </w:r>
    </w:p>
    <w:p w:rsidR="00374EAA" w:rsidRPr="00374EAA" w:rsidRDefault="008766E8" w:rsidP="00374EAA">
      <w:pPr>
        <w:numPr>
          <w:ilvl w:val="1"/>
          <w:numId w:val="1"/>
        </w:numPr>
        <w:autoSpaceDE w:val="0"/>
        <w:autoSpaceDN w:val="0"/>
        <w:spacing w:after="240"/>
        <w:jc w:val="both"/>
        <w:rPr>
          <w:rFonts w:ascii="Arial" w:eastAsia="Times New Roman" w:hAnsi="Arial"/>
          <w:sz w:val="24"/>
          <w:u w:val="single"/>
        </w:rPr>
      </w:pPr>
      <w:r w:rsidRPr="00374EAA">
        <w:rPr>
          <w:rFonts w:ascii="Arial" w:eastAsia="Times New Roman" w:hAnsi="Arial"/>
          <w:sz w:val="24"/>
        </w:rPr>
        <w:t xml:space="preserve"> </w:t>
      </w:r>
      <w:r>
        <w:rPr>
          <w:rFonts w:ascii="Arial" w:eastAsia="Times New Roman" w:hAnsi="Arial"/>
          <w:sz w:val="24"/>
        </w:rPr>
        <w:t xml:space="preserve">No relevant statutory or non-statutory consultees. </w:t>
      </w:r>
    </w:p>
    <w:p w:rsidR="00374EAA" w:rsidRPr="00374EAA" w:rsidRDefault="00374EAA" w:rsidP="00374EAA">
      <w:pPr>
        <w:autoSpaceDE w:val="0"/>
        <w:autoSpaceDN w:val="0"/>
        <w:spacing w:after="240"/>
        <w:ind w:firstLine="709"/>
        <w:rPr>
          <w:rFonts w:ascii="Arial" w:eastAsia="Times New Roman" w:hAnsi="Arial"/>
          <w:b/>
          <w:sz w:val="24"/>
        </w:rPr>
      </w:pPr>
      <w:r w:rsidRPr="00374EAA">
        <w:rPr>
          <w:rFonts w:ascii="Arial" w:eastAsia="Times New Roman" w:hAnsi="Arial"/>
          <w:b/>
          <w:sz w:val="24"/>
        </w:rPr>
        <w:t>Public representations</w:t>
      </w:r>
    </w:p>
    <w:p w:rsidR="00374EAA" w:rsidRPr="00374EAA" w:rsidRDefault="008766E8" w:rsidP="00374EAA">
      <w:pPr>
        <w:numPr>
          <w:ilvl w:val="1"/>
          <w:numId w:val="1"/>
        </w:numPr>
        <w:autoSpaceDE w:val="0"/>
        <w:autoSpaceDN w:val="0"/>
        <w:spacing w:after="240"/>
        <w:jc w:val="both"/>
        <w:rPr>
          <w:rFonts w:ascii="Arial" w:eastAsia="Times New Roman" w:hAnsi="Arial"/>
          <w:sz w:val="24"/>
        </w:rPr>
      </w:pPr>
      <w:r>
        <w:rPr>
          <w:rFonts w:ascii="Arial" w:eastAsia="Times New Roman" w:hAnsi="Arial"/>
          <w:sz w:val="24"/>
        </w:rPr>
        <w:t xml:space="preserve">No third party comments received. </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PLANNING MATERIAL CONSIDERATIONS</w:t>
      </w:r>
    </w:p>
    <w:p w:rsidR="00374EAA" w:rsidRPr="00374EAA" w:rsidRDefault="00374EAA" w:rsidP="00374EAA">
      <w:pPr>
        <w:numPr>
          <w:ilvl w:val="1"/>
          <w:numId w:val="1"/>
        </w:numPr>
        <w:autoSpaceDE w:val="0"/>
        <w:autoSpaceDN w:val="0"/>
        <w:spacing w:after="240"/>
        <w:jc w:val="both"/>
        <w:rPr>
          <w:rFonts w:ascii="Arial" w:eastAsia="Times New Roman" w:hAnsi="Arial"/>
          <w:sz w:val="24"/>
        </w:rPr>
      </w:pPr>
      <w:r w:rsidRPr="00374EAA">
        <w:rPr>
          <w:rFonts w:ascii="Arial" w:eastAsia="Times New Roman" w:hAnsi="Arial"/>
          <w:sz w:val="24"/>
        </w:rPr>
        <w:t>Officers consider the determining issues to be:</w:t>
      </w:r>
    </w:p>
    <w:p w:rsidR="00374EAA" w:rsidRPr="00374EAA" w:rsidRDefault="00374EAA" w:rsidP="00A9445B">
      <w:pPr>
        <w:widowControl w:val="0"/>
        <w:numPr>
          <w:ilvl w:val="0"/>
          <w:numId w:val="5"/>
        </w:numPr>
        <w:autoSpaceDE w:val="0"/>
        <w:autoSpaceDN w:val="0"/>
        <w:spacing w:after="120"/>
        <w:jc w:val="both"/>
        <w:rPr>
          <w:rFonts w:ascii="Arial" w:eastAsia="Times New Roman" w:hAnsi="Arial"/>
          <w:bCs/>
          <w:sz w:val="24"/>
        </w:rPr>
      </w:pPr>
      <w:r w:rsidRPr="00374EAA">
        <w:rPr>
          <w:rFonts w:ascii="Arial" w:eastAsia="Times New Roman" w:hAnsi="Arial"/>
          <w:bCs/>
          <w:sz w:val="24"/>
        </w:rPr>
        <w:t>Design</w:t>
      </w:r>
    </w:p>
    <w:p w:rsidR="00374EAA" w:rsidRPr="00374EAA" w:rsidRDefault="00374EAA" w:rsidP="00A9445B">
      <w:pPr>
        <w:widowControl w:val="0"/>
        <w:numPr>
          <w:ilvl w:val="0"/>
          <w:numId w:val="5"/>
        </w:numPr>
        <w:autoSpaceDE w:val="0"/>
        <w:autoSpaceDN w:val="0"/>
        <w:spacing w:after="120"/>
        <w:jc w:val="both"/>
        <w:rPr>
          <w:rFonts w:ascii="Arial" w:eastAsia="Times New Roman" w:hAnsi="Arial"/>
          <w:bCs/>
          <w:sz w:val="24"/>
        </w:rPr>
      </w:pPr>
      <w:r w:rsidRPr="00374EAA">
        <w:rPr>
          <w:rFonts w:ascii="Arial" w:eastAsia="Times New Roman" w:hAnsi="Arial"/>
          <w:bCs/>
          <w:sz w:val="24"/>
        </w:rPr>
        <w:t>Neighbouring amenity</w:t>
      </w:r>
    </w:p>
    <w:p w:rsidR="00374EAA" w:rsidRPr="00374EAA" w:rsidRDefault="008766E8" w:rsidP="00A9445B">
      <w:pPr>
        <w:widowControl w:val="0"/>
        <w:numPr>
          <w:ilvl w:val="0"/>
          <w:numId w:val="5"/>
        </w:numPr>
        <w:autoSpaceDE w:val="0"/>
        <w:autoSpaceDN w:val="0"/>
        <w:spacing w:after="120"/>
        <w:jc w:val="both"/>
        <w:rPr>
          <w:rFonts w:ascii="Arial" w:eastAsia="Times New Roman" w:hAnsi="Arial"/>
          <w:bCs/>
          <w:sz w:val="24"/>
        </w:rPr>
      </w:pPr>
      <w:r>
        <w:rPr>
          <w:rFonts w:ascii="Arial" w:eastAsia="Times New Roman" w:hAnsi="Arial"/>
          <w:bCs/>
          <w:sz w:val="24"/>
        </w:rPr>
        <w:t>Trees</w:t>
      </w:r>
    </w:p>
    <w:p w:rsidR="00374EAA" w:rsidRPr="00374EAA" w:rsidRDefault="00374EAA" w:rsidP="00374EAA">
      <w:pPr>
        <w:autoSpaceDE w:val="0"/>
        <w:autoSpaceDN w:val="0"/>
        <w:rPr>
          <w:rFonts w:ascii="Arial" w:eastAsia="Times New Roman" w:hAnsi="Arial"/>
          <w:sz w:val="24"/>
        </w:rPr>
      </w:pPr>
    </w:p>
    <w:p w:rsidR="00374EAA" w:rsidRPr="00374EAA" w:rsidRDefault="00374EAA" w:rsidP="00A9445B">
      <w:pPr>
        <w:numPr>
          <w:ilvl w:val="0"/>
          <w:numId w:val="6"/>
        </w:numPr>
        <w:tabs>
          <w:tab w:val="left" w:pos="1134"/>
        </w:tabs>
        <w:autoSpaceDE w:val="0"/>
        <w:autoSpaceDN w:val="0"/>
        <w:spacing w:after="240"/>
        <w:rPr>
          <w:rFonts w:ascii="Arial" w:eastAsia="Times New Roman" w:hAnsi="Arial"/>
          <w:b/>
          <w:iCs/>
          <w:sz w:val="24"/>
        </w:rPr>
      </w:pPr>
      <w:r w:rsidRPr="00374EAA">
        <w:rPr>
          <w:rFonts w:ascii="Arial" w:eastAsia="Times New Roman" w:hAnsi="Arial"/>
          <w:b/>
          <w:sz w:val="24"/>
        </w:rPr>
        <w:t>Design</w:t>
      </w:r>
    </w:p>
    <w:p w:rsidR="008766E8" w:rsidRDefault="008766E8" w:rsidP="00A9445B">
      <w:pPr>
        <w:numPr>
          <w:ilvl w:val="1"/>
          <w:numId w:val="1"/>
        </w:numPr>
        <w:autoSpaceDE w:val="0"/>
        <w:autoSpaceDN w:val="0"/>
        <w:spacing w:after="240"/>
        <w:ind w:left="709" w:hanging="709"/>
        <w:jc w:val="both"/>
        <w:rPr>
          <w:rFonts w:ascii="Arial" w:eastAsia="Times New Roman" w:hAnsi="Arial"/>
          <w:sz w:val="24"/>
        </w:rPr>
      </w:pPr>
      <w:r w:rsidRPr="00425DA9">
        <w:rPr>
          <w:rFonts w:ascii="Arial" w:eastAsia="Times New Roman" w:hAnsi="Arial"/>
          <w:sz w:val="24"/>
        </w:rPr>
        <w:t xml:space="preserve">Policies CP1, CP8, CP10, CS18 and HP9 seek to ensure that </w:t>
      </w:r>
      <w:r w:rsidR="00A9445B">
        <w:rPr>
          <w:rFonts w:ascii="Arial" w:eastAsia="Times New Roman" w:hAnsi="Arial"/>
          <w:sz w:val="24"/>
        </w:rPr>
        <w:t xml:space="preserve">a </w:t>
      </w:r>
      <w:r w:rsidRPr="00425DA9">
        <w:rPr>
          <w:rFonts w:ascii="Arial" w:eastAsia="Times New Roman" w:hAnsi="Arial"/>
          <w:sz w:val="24"/>
        </w:rPr>
        <w:t xml:space="preserve">development is well designed and relates well to the existing house and surroundings. </w:t>
      </w:r>
    </w:p>
    <w:p w:rsidR="00374EAA" w:rsidRDefault="00FE3C6D"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A number of properties in the surrounding area have been altered and extended with single storey rear extension</w:t>
      </w:r>
      <w:r w:rsidR="002023C1">
        <w:rPr>
          <w:rFonts w:ascii="Arial" w:eastAsia="Times New Roman" w:hAnsi="Arial"/>
          <w:iCs/>
          <w:sz w:val="24"/>
        </w:rPr>
        <w:t xml:space="preserve">s and rear box dormers. While larger two storey extensions are less common, the dwelling sits on an unusually large plot. It is also atypical in being separated from the boundary of </w:t>
      </w:r>
      <w:proofErr w:type="spellStart"/>
      <w:r w:rsidR="002023C1">
        <w:rPr>
          <w:rFonts w:ascii="Arial" w:eastAsia="Times New Roman" w:hAnsi="Arial"/>
          <w:iCs/>
          <w:sz w:val="24"/>
        </w:rPr>
        <w:t>Cutteslowe</w:t>
      </w:r>
      <w:proofErr w:type="spellEnd"/>
      <w:r w:rsidR="002023C1">
        <w:rPr>
          <w:rFonts w:ascii="Arial" w:eastAsia="Times New Roman" w:hAnsi="Arial"/>
          <w:iCs/>
          <w:sz w:val="24"/>
        </w:rPr>
        <w:t xml:space="preserve"> Park by a substantial area of garden to the side (4.7 metres at minimum). The opposite dwelling at 15 </w:t>
      </w:r>
      <w:proofErr w:type="spellStart"/>
      <w:r w:rsidR="002023C1">
        <w:rPr>
          <w:rFonts w:ascii="Arial" w:eastAsia="Times New Roman" w:hAnsi="Arial"/>
          <w:iCs/>
          <w:sz w:val="24"/>
        </w:rPr>
        <w:t>Sparsey</w:t>
      </w:r>
      <w:proofErr w:type="spellEnd"/>
      <w:r w:rsidR="002023C1">
        <w:rPr>
          <w:rFonts w:ascii="Arial" w:eastAsia="Times New Roman" w:hAnsi="Arial"/>
          <w:iCs/>
          <w:sz w:val="24"/>
        </w:rPr>
        <w:t xml:space="preserve"> </w:t>
      </w:r>
      <w:proofErr w:type="gramStart"/>
      <w:r w:rsidR="002023C1">
        <w:rPr>
          <w:rFonts w:ascii="Arial" w:eastAsia="Times New Roman" w:hAnsi="Arial"/>
          <w:iCs/>
          <w:sz w:val="24"/>
        </w:rPr>
        <w:t>Place,</w:t>
      </w:r>
      <w:proofErr w:type="gramEnd"/>
      <w:r w:rsidR="002023C1">
        <w:rPr>
          <w:rFonts w:ascii="Arial" w:eastAsia="Times New Roman" w:hAnsi="Arial"/>
          <w:iCs/>
          <w:sz w:val="24"/>
        </w:rPr>
        <w:t xml:space="preserve"> and nearby similar dwellings at 15 and 16 Prior’s Forge were developed closer to the boundary of the park. As such, it is considered that the addition of a relatively substantial side extension can comfortably</w:t>
      </w:r>
      <w:r w:rsidR="005F1383">
        <w:rPr>
          <w:rFonts w:ascii="Arial" w:eastAsia="Times New Roman" w:hAnsi="Arial"/>
          <w:iCs/>
          <w:sz w:val="24"/>
        </w:rPr>
        <w:t xml:space="preserve"> be</w:t>
      </w:r>
      <w:r w:rsidR="002023C1">
        <w:rPr>
          <w:rFonts w:ascii="Arial" w:eastAsia="Times New Roman" w:hAnsi="Arial"/>
          <w:iCs/>
          <w:sz w:val="24"/>
        </w:rPr>
        <w:t xml:space="preserve"> accommodated within the existing streetscene, without causing harm to the character or appearance of the existing dwelling or surrounding area. </w:t>
      </w:r>
    </w:p>
    <w:p w:rsidR="002023C1" w:rsidRDefault="002023C1"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lastRenderedPageBreak/>
        <w:t xml:space="preserve">While relatively substantial, the side extension would be set back from the front elevation of the existing dwelling by 4 metres, and the roof of the extension would be set down from that of the main dwelling by 0.45 metres, and would therefore appear subservient to the host dwelling. </w:t>
      </w:r>
      <w:r w:rsidR="00913DCC">
        <w:rPr>
          <w:rFonts w:ascii="Arial" w:eastAsia="Times New Roman" w:hAnsi="Arial"/>
          <w:iCs/>
          <w:sz w:val="24"/>
        </w:rPr>
        <w:t xml:space="preserve">The side extension would have a half dormer at first floor to the front, which would also ensure the side extension appears subservient to the main dwelling. The fenestration would form an acceptable relationship with that of the existing dwelling. The proposed two storey extension is considered to form an acceptable relationship with the host dwelling in terms of scale and form. </w:t>
      </w:r>
    </w:p>
    <w:p w:rsidR="00913DCC" w:rsidRDefault="00913DCC" w:rsidP="002023C1">
      <w:pPr>
        <w:numPr>
          <w:ilvl w:val="1"/>
          <w:numId w:val="1"/>
        </w:numPr>
        <w:autoSpaceDE w:val="0"/>
        <w:autoSpaceDN w:val="0"/>
        <w:spacing w:after="240"/>
        <w:ind w:left="709" w:hanging="709"/>
        <w:jc w:val="both"/>
        <w:rPr>
          <w:rFonts w:ascii="Arial" w:eastAsia="Times New Roman" w:hAnsi="Arial"/>
          <w:iCs/>
          <w:sz w:val="24"/>
        </w:rPr>
      </w:pPr>
      <w:r w:rsidRPr="00913DCC">
        <w:rPr>
          <w:rFonts w:ascii="Arial" w:eastAsia="Times New Roman" w:hAnsi="Arial"/>
          <w:iCs/>
          <w:sz w:val="24"/>
        </w:rPr>
        <w:t xml:space="preserve">The proposed single storey front and rear extensions would be small scale additions to the existing dwelling. The rear extension would not be visible from the public realm, and is smaller in scale than existing single storey extensions to many surrounding properties. The front extension would infill between the main front elevation and an existing porch and canopy. It would be similar in appearance and scale to neighbouring front extensions at 14 and 10 </w:t>
      </w:r>
      <w:proofErr w:type="spellStart"/>
      <w:r w:rsidRPr="00913DCC">
        <w:rPr>
          <w:rFonts w:ascii="Arial" w:eastAsia="Times New Roman" w:hAnsi="Arial"/>
          <w:iCs/>
          <w:sz w:val="24"/>
        </w:rPr>
        <w:t>Sparsey</w:t>
      </w:r>
      <w:proofErr w:type="spellEnd"/>
      <w:r w:rsidRPr="00913DCC">
        <w:rPr>
          <w:rFonts w:ascii="Arial" w:eastAsia="Times New Roman" w:hAnsi="Arial"/>
          <w:iCs/>
          <w:sz w:val="24"/>
        </w:rPr>
        <w:t xml:space="preserve"> Place, and would form an acceptable relationship with the host dwelling and would not be harmful to the character and appearance of the dwelling or the streetscene.</w:t>
      </w:r>
      <w:r>
        <w:rPr>
          <w:rFonts w:ascii="Arial" w:eastAsia="Times New Roman" w:hAnsi="Arial"/>
          <w:iCs/>
          <w:sz w:val="24"/>
        </w:rPr>
        <w:t xml:space="preserve"> T</w:t>
      </w:r>
      <w:r w:rsidRPr="00913DCC">
        <w:rPr>
          <w:rFonts w:ascii="Arial" w:eastAsia="Times New Roman" w:hAnsi="Arial"/>
          <w:iCs/>
          <w:sz w:val="24"/>
        </w:rPr>
        <w:t xml:space="preserve">he proposed extensions would be finished in materials to match the existing dwelling, which is considered acceptable. </w:t>
      </w:r>
    </w:p>
    <w:p w:rsidR="00913DCC" w:rsidRPr="00374EAA" w:rsidRDefault="00913DCC" w:rsidP="002023C1">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The proposals are considered to comply with policies CP1, CP8 and CP10 of the Oxford Local Plan 2001-2016, HP9 of the Sites and Housing Plan, CS18 of the Core Strategy and DH1 of the emerging Oxford Local Plan 2036, noting that it only has limited weight at this time. </w:t>
      </w:r>
    </w:p>
    <w:p w:rsidR="00374EAA" w:rsidRPr="00374EAA" w:rsidRDefault="00374EAA" w:rsidP="00A9445B">
      <w:pPr>
        <w:numPr>
          <w:ilvl w:val="0"/>
          <w:numId w:val="6"/>
        </w:numPr>
        <w:tabs>
          <w:tab w:val="left" w:pos="1134"/>
        </w:tabs>
        <w:autoSpaceDE w:val="0"/>
        <w:autoSpaceDN w:val="0"/>
        <w:spacing w:after="240"/>
        <w:rPr>
          <w:rFonts w:ascii="Arial" w:eastAsia="Times New Roman" w:hAnsi="Arial"/>
          <w:b/>
          <w:sz w:val="24"/>
        </w:rPr>
      </w:pPr>
      <w:r w:rsidRPr="00374EAA">
        <w:rPr>
          <w:rFonts w:ascii="Arial" w:eastAsia="Times New Roman" w:hAnsi="Arial"/>
          <w:b/>
          <w:sz w:val="24"/>
        </w:rPr>
        <w:t>Impact on neighbouring amenity</w:t>
      </w:r>
    </w:p>
    <w:p w:rsidR="00374EAA" w:rsidRPr="004D7C07" w:rsidRDefault="008766E8"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sz w:val="24"/>
        </w:rPr>
        <w:t>Policy HP14 of the Sites and Housing Plan states that planning permission will only be granted for development that provides reasonable privacy and daylight to neighbouring properties, does not have an overbearing impact or result in a loss of outlook afforded to neighbouring properties</w:t>
      </w:r>
    </w:p>
    <w:p w:rsidR="004D7C07" w:rsidRDefault="004D7C07"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14 </w:t>
      </w:r>
      <w:proofErr w:type="spellStart"/>
      <w:r>
        <w:rPr>
          <w:rFonts w:ascii="Arial" w:eastAsia="Times New Roman" w:hAnsi="Arial"/>
          <w:iCs/>
          <w:sz w:val="24"/>
        </w:rPr>
        <w:t>Sparsey</w:t>
      </w:r>
      <w:proofErr w:type="spellEnd"/>
      <w:r>
        <w:rPr>
          <w:rFonts w:ascii="Arial" w:eastAsia="Times New Roman" w:hAnsi="Arial"/>
          <w:iCs/>
          <w:sz w:val="24"/>
        </w:rPr>
        <w:t xml:space="preserve"> Places lies to the east of the application site. The proposals are compliant with the 45 degree line when applied to windows serving habitable rooms at no.14 and are therefore not considered to result in any unacceptable loss of daylight to these rooms. The two storey element would be separated from the shared boundary between 14 and 16 </w:t>
      </w:r>
      <w:proofErr w:type="spellStart"/>
      <w:r>
        <w:rPr>
          <w:rFonts w:ascii="Arial" w:eastAsia="Times New Roman" w:hAnsi="Arial"/>
          <w:iCs/>
          <w:sz w:val="24"/>
        </w:rPr>
        <w:t>Sparsey</w:t>
      </w:r>
      <w:proofErr w:type="spellEnd"/>
      <w:r>
        <w:rPr>
          <w:rFonts w:ascii="Arial" w:eastAsia="Times New Roman" w:hAnsi="Arial"/>
          <w:iCs/>
          <w:sz w:val="24"/>
        </w:rPr>
        <w:t xml:space="preserve"> Place by 5.1 metres, and is therefore not considered to have an overbearing impact on the garden or dwelling at no.14. The single storey rear extension would only project beyond the rear e</w:t>
      </w:r>
      <w:r w:rsidR="004A0458">
        <w:rPr>
          <w:rFonts w:ascii="Arial" w:eastAsia="Times New Roman" w:hAnsi="Arial"/>
          <w:iCs/>
          <w:sz w:val="24"/>
        </w:rPr>
        <w:t>levation of no.14 by 1.1 metres</w:t>
      </w:r>
      <w:r>
        <w:rPr>
          <w:rFonts w:ascii="Arial" w:eastAsia="Times New Roman" w:hAnsi="Arial"/>
          <w:iCs/>
          <w:sz w:val="24"/>
        </w:rPr>
        <w:t xml:space="preserve"> and is also not considered to have an overbearing impact on the garden or dwelling at no.</w:t>
      </w:r>
      <w:r w:rsidR="004A0458">
        <w:rPr>
          <w:rFonts w:ascii="Arial" w:eastAsia="Times New Roman" w:hAnsi="Arial"/>
          <w:iCs/>
          <w:sz w:val="24"/>
        </w:rPr>
        <w:t>14. There would be no windows on</w:t>
      </w:r>
      <w:r>
        <w:rPr>
          <w:rFonts w:ascii="Arial" w:eastAsia="Times New Roman" w:hAnsi="Arial"/>
          <w:iCs/>
          <w:sz w:val="24"/>
        </w:rPr>
        <w:t xml:space="preserve"> the side elevations of the first floor extension, and the proposals would not result in any loss of privacy or impact of overlooking to no.14. </w:t>
      </w:r>
    </w:p>
    <w:p w:rsidR="004D7C07" w:rsidRDefault="004D7C07"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To the south the application site </w:t>
      </w:r>
      <w:r w:rsidR="004A0458">
        <w:rPr>
          <w:rFonts w:ascii="Arial" w:eastAsia="Times New Roman" w:hAnsi="Arial"/>
          <w:iCs/>
          <w:sz w:val="24"/>
        </w:rPr>
        <w:t>lie</w:t>
      </w:r>
      <w:r>
        <w:rPr>
          <w:rFonts w:ascii="Arial" w:eastAsia="Times New Roman" w:hAnsi="Arial"/>
          <w:iCs/>
          <w:sz w:val="24"/>
        </w:rPr>
        <w:t xml:space="preserve"> 13 and 15 </w:t>
      </w:r>
      <w:proofErr w:type="gramStart"/>
      <w:r>
        <w:rPr>
          <w:rFonts w:ascii="Arial" w:eastAsia="Times New Roman" w:hAnsi="Arial"/>
          <w:iCs/>
          <w:sz w:val="24"/>
        </w:rPr>
        <w:t>Prior’s</w:t>
      </w:r>
      <w:proofErr w:type="gramEnd"/>
      <w:r>
        <w:rPr>
          <w:rFonts w:ascii="Arial" w:eastAsia="Times New Roman" w:hAnsi="Arial"/>
          <w:iCs/>
          <w:sz w:val="24"/>
        </w:rPr>
        <w:t xml:space="preserve"> Forge. Regard has been had to </w:t>
      </w:r>
      <w:r w:rsidR="004A0458">
        <w:rPr>
          <w:rFonts w:ascii="Arial" w:eastAsia="Times New Roman" w:hAnsi="Arial"/>
          <w:iCs/>
          <w:sz w:val="24"/>
        </w:rPr>
        <w:t xml:space="preserve">the </w:t>
      </w:r>
      <w:r>
        <w:rPr>
          <w:rFonts w:ascii="Arial" w:eastAsia="Times New Roman" w:hAnsi="Arial"/>
          <w:iCs/>
          <w:sz w:val="24"/>
        </w:rPr>
        <w:t xml:space="preserve">potential impacts of overlooking and loss of privacy arising from rear-facing first floor windows in the two storey extension. At first floor, the rear </w:t>
      </w:r>
      <w:r w:rsidR="005F1383">
        <w:rPr>
          <w:rFonts w:ascii="Arial" w:eastAsia="Times New Roman" w:hAnsi="Arial"/>
          <w:iCs/>
          <w:sz w:val="24"/>
        </w:rPr>
        <w:t xml:space="preserve">elevation </w:t>
      </w:r>
      <w:r>
        <w:rPr>
          <w:rFonts w:ascii="Arial" w:eastAsia="Times New Roman" w:hAnsi="Arial"/>
          <w:iCs/>
          <w:sz w:val="24"/>
        </w:rPr>
        <w:t xml:space="preserve">of </w:t>
      </w:r>
      <w:r w:rsidR="005F1383">
        <w:rPr>
          <w:rFonts w:ascii="Arial" w:eastAsia="Times New Roman" w:hAnsi="Arial"/>
          <w:iCs/>
          <w:sz w:val="24"/>
        </w:rPr>
        <w:t>the</w:t>
      </w:r>
      <w:r>
        <w:rPr>
          <w:rFonts w:ascii="Arial" w:eastAsia="Times New Roman" w:hAnsi="Arial"/>
          <w:iCs/>
          <w:sz w:val="24"/>
        </w:rPr>
        <w:t xml:space="preserve"> extension </w:t>
      </w:r>
      <w:r w:rsidR="004A0458">
        <w:rPr>
          <w:rFonts w:ascii="Arial" w:eastAsia="Times New Roman" w:hAnsi="Arial"/>
          <w:iCs/>
          <w:sz w:val="24"/>
        </w:rPr>
        <w:t>would be set in by</w:t>
      </w:r>
      <w:r>
        <w:rPr>
          <w:rFonts w:ascii="Arial" w:eastAsia="Times New Roman" w:hAnsi="Arial"/>
          <w:iCs/>
          <w:sz w:val="24"/>
        </w:rPr>
        <w:t xml:space="preserve"> 1 metre, which</w:t>
      </w:r>
      <w:r w:rsidR="004A0458">
        <w:rPr>
          <w:rFonts w:ascii="Arial" w:eastAsia="Times New Roman" w:hAnsi="Arial"/>
          <w:iCs/>
          <w:sz w:val="24"/>
        </w:rPr>
        <w:t xml:space="preserve"> would ensure</w:t>
      </w:r>
      <w:r>
        <w:rPr>
          <w:rFonts w:ascii="Arial" w:eastAsia="Times New Roman" w:hAnsi="Arial"/>
          <w:iCs/>
          <w:sz w:val="24"/>
        </w:rPr>
        <w:t xml:space="preserve"> that a distance of 20 metres </w:t>
      </w:r>
      <w:r w:rsidR="004A0458">
        <w:rPr>
          <w:rFonts w:ascii="Arial" w:eastAsia="Times New Roman" w:hAnsi="Arial"/>
          <w:iCs/>
          <w:sz w:val="24"/>
        </w:rPr>
        <w:t>would be</w:t>
      </w:r>
      <w:r>
        <w:rPr>
          <w:rFonts w:ascii="Arial" w:eastAsia="Times New Roman" w:hAnsi="Arial"/>
          <w:iCs/>
          <w:sz w:val="24"/>
        </w:rPr>
        <w:t xml:space="preserve"> maintained between rear facing </w:t>
      </w:r>
      <w:r>
        <w:rPr>
          <w:rFonts w:ascii="Arial" w:eastAsia="Times New Roman" w:hAnsi="Arial"/>
          <w:iCs/>
          <w:sz w:val="24"/>
        </w:rPr>
        <w:lastRenderedPageBreak/>
        <w:t xml:space="preserve">windows of the dwellings at 13 and 15 Prior’s Forge. The rear first floor window would also be separated from the shared boundary between 16 </w:t>
      </w:r>
      <w:proofErr w:type="spellStart"/>
      <w:r>
        <w:rPr>
          <w:rFonts w:ascii="Arial" w:eastAsia="Times New Roman" w:hAnsi="Arial"/>
          <w:iCs/>
          <w:sz w:val="24"/>
        </w:rPr>
        <w:t>Sparsey</w:t>
      </w:r>
      <w:proofErr w:type="spellEnd"/>
      <w:r>
        <w:rPr>
          <w:rFonts w:ascii="Arial" w:eastAsia="Times New Roman" w:hAnsi="Arial"/>
          <w:iCs/>
          <w:sz w:val="24"/>
        </w:rPr>
        <w:t xml:space="preserve"> Place and 13 and 15 Prior’s Forge by 8.9 metres. The proposals are therefore not considered to result in any unacceptable loss of privacy or impact of overlo</w:t>
      </w:r>
      <w:r w:rsidR="004A0458">
        <w:rPr>
          <w:rFonts w:ascii="Arial" w:eastAsia="Times New Roman" w:hAnsi="Arial"/>
          <w:iCs/>
          <w:sz w:val="24"/>
        </w:rPr>
        <w:t xml:space="preserve">oking to 13 or 15 </w:t>
      </w:r>
      <w:proofErr w:type="gramStart"/>
      <w:r w:rsidR="004A0458">
        <w:rPr>
          <w:rFonts w:ascii="Arial" w:eastAsia="Times New Roman" w:hAnsi="Arial"/>
          <w:iCs/>
          <w:sz w:val="24"/>
        </w:rPr>
        <w:t>Prior’s</w:t>
      </w:r>
      <w:proofErr w:type="gramEnd"/>
      <w:r w:rsidR="004A0458">
        <w:rPr>
          <w:rFonts w:ascii="Arial" w:eastAsia="Times New Roman" w:hAnsi="Arial"/>
          <w:iCs/>
          <w:sz w:val="24"/>
        </w:rPr>
        <w:t xml:space="preserve"> Forge. Th</w:t>
      </w:r>
      <w:r>
        <w:rPr>
          <w:rFonts w:ascii="Arial" w:eastAsia="Times New Roman" w:hAnsi="Arial"/>
          <w:iCs/>
          <w:sz w:val="24"/>
        </w:rPr>
        <w:t>e ground floor front and rear extensions would have no impact on the amenity of these dwellings.</w:t>
      </w:r>
    </w:p>
    <w:p w:rsidR="005F1383" w:rsidRDefault="004D7C07" w:rsidP="00A9445B">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To the west the application site</w:t>
      </w:r>
      <w:r w:rsidR="004A0458">
        <w:rPr>
          <w:rFonts w:ascii="Arial" w:eastAsia="Times New Roman" w:hAnsi="Arial"/>
          <w:iCs/>
          <w:sz w:val="24"/>
        </w:rPr>
        <w:t xml:space="preserve"> is the</w:t>
      </w:r>
      <w:r>
        <w:rPr>
          <w:rFonts w:ascii="Arial" w:eastAsia="Times New Roman" w:hAnsi="Arial"/>
          <w:iCs/>
          <w:sz w:val="24"/>
        </w:rPr>
        <w:t xml:space="preserve"> boundary of </w:t>
      </w:r>
      <w:proofErr w:type="spellStart"/>
      <w:r>
        <w:rPr>
          <w:rFonts w:ascii="Arial" w:eastAsia="Times New Roman" w:hAnsi="Arial"/>
          <w:iCs/>
          <w:sz w:val="24"/>
        </w:rPr>
        <w:t>Cutteslowe</w:t>
      </w:r>
      <w:proofErr w:type="spellEnd"/>
      <w:r>
        <w:rPr>
          <w:rFonts w:ascii="Arial" w:eastAsia="Times New Roman" w:hAnsi="Arial"/>
          <w:iCs/>
          <w:sz w:val="24"/>
        </w:rPr>
        <w:t xml:space="preserve"> Park. There would therefore be n</w:t>
      </w:r>
      <w:r w:rsidR="004A0458">
        <w:rPr>
          <w:rFonts w:ascii="Arial" w:eastAsia="Times New Roman" w:hAnsi="Arial"/>
          <w:iCs/>
          <w:sz w:val="24"/>
        </w:rPr>
        <w:t>o impact on residential amenity afforded by views in this direction.</w:t>
      </w:r>
    </w:p>
    <w:p w:rsidR="004D7C07" w:rsidRPr="00374EAA" w:rsidRDefault="005F1383" w:rsidP="004A0458">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The proposal is considered to comply with HP14 of the Sites and Housing Plan and H14 of the emerging Oxford Local Plan 2036, noting that it only has limited weight at this time. </w:t>
      </w:r>
      <w:r w:rsidR="004D7C07">
        <w:rPr>
          <w:rFonts w:ascii="Arial" w:eastAsia="Times New Roman" w:hAnsi="Arial"/>
          <w:iCs/>
          <w:sz w:val="24"/>
        </w:rPr>
        <w:t xml:space="preserve"> </w:t>
      </w:r>
    </w:p>
    <w:p w:rsidR="00374EAA" w:rsidRPr="00374EAA" w:rsidRDefault="00374EAA" w:rsidP="004A0458">
      <w:pPr>
        <w:numPr>
          <w:ilvl w:val="0"/>
          <w:numId w:val="9"/>
        </w:numPr>
        <w:tabs>
          <w:tab w:val="left" w:pos="1134"/>
        </w:tabs>
        <w:autoSpaceDE w:val="0"/>
        <w:autoSpaceDN w:val="0"/>
        <w:spacing w:after="240"/>
        <w:rPr>
          <w:rFonts w:ascii="Arial" w:eastAsia="Times New Roman" w:hAnsi="Arial"/>
          <w:b/>
          <w:sz w:val="24"/>
        </w:rPr>
      </w:pPr>
      <w:r w:rsidRPr="00374EAA">
        <w:rPr>
          <w:rFonts w:ascii="Arial" w:eastAsia="Times New Roman" w:hAnsi="Arial"/>
          <w:b/>
          <w:sz w:val="24"/>
        </w:rPr>
        <w:t>T</w:t>
      </w:r>
      <w:r w:rsidR="008766E8">
        <w:rPr>
          <w:rFonts w:ascii="Arial" w:eastAsia="Times New Roman" w:hAnsi="Arial"/>
          <w:b/>
          <w:sz w:val="24"/>
        </w:rPr>
        <w:t>rees</w:t>
      </w:r>
    </w:p>
    <w:p w:rsidR="000A042D" w:rsidRDefault="008766E8" w:rsidP="004A0458">
      <w:pPr>
        <w:pStyle w:val="PARAGRAPHA"/>
        <w:ind w:left="709" w:hanging="709"/>
      </w:pPr>
      <w:r w:rsidRPr="00374EAA">
        <w:t xml:space="preserve"> </w:t>
      </w:r>
      <w:r w:rsidR="000A042D">
        <w:t xml:space="preserve">Policy NE15 of the Oxford Local Plan 2001-2016 states that planning permission will not be granted for any development which involves the destruction or major surgery of trees where this would have a significant adverse effect upon public amenity, unless such action can be shown to be good </w:t>
      </w:r>
      <w:proofErr w:type="spellStart"/>
      <w:r w:rsidR="000A042D">
        <w:t>arboricultural</w:t>
      </w:r>
      <w:proofErr w:type="spellEnd"/>
      <w:r w:rsidR="000A042D">
        <w:t xml:space="preserve"> practice.</w:t>
      </w:r>
    </w:p>
    <w:p w:rsidR="00027014" w:rsidRDefault="00027014" w:rsidP="004A0458">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Adjacent to the western boundary of the site there are a number of mature trees located within </w:t>
      </w:r>
      <w:proofErr w:type="spellStart"/>
      <w:r>
        <w:rPr>
          <w:rFonts w:ascii="Arial" w:eastAsia="Times New Roman" w:hAnsi="Arial"/>
          <w:iCs/>
          <w:sz w:val="24"/>
        </w:rPr>
        <w:t>Cutteslowe</w:t>
      </w:r>
      <w:proofErr w:type="spellEnd"/>
      <w:r>
        <w:rPr>
          <w:rFonts w:ascii="Arial" w:eastAsia="Times New Roman" w:hAnsi="Arial"/>
          <w:iCs/>
          <w:sz w:val="24"/>
        </w:rPr>
        <w:t xml:space="preserve"> Park. </w:t>
      </w:r>
    </w:p>
    <w:p w:rsidR="00374EAA" w:rsidRDefault="006D5CDD" w:rsidP="004A0458">
      <w:pPr>
        <w:numPr>
          <w:ilvl w:val="1"/>
          <w:numId w:val="1"/>
        </w:numPr>
        <w:autoSpaceDE w:val="0"/>
        <w:autoSpaceDN w:val="0"/>
        <w:spacing w:after="240"/>
        <w:ind w:left="709" w:hanging="709"/>
        <w:jc w:val="both"/>
        <w:rPr>
          <w:rFonts w:ascii="Arial" w:eastAsia="Times New Roman" w:hAnsi="Arial"/>
          <w:iCs/>
          <w:sz w:val="24"/>
        </w:rPr>
      </w:pPr>
      <w:r>
        <w:rPr>
          <w:rFonts w:ascii="Arial" w:eastAsia="Times New Roman" w:hAnsi="Arial"/>
          <w:iCs/>
          <w:sz w:val="24"/>
        </w:rPr>
        <w:t xml:space="preserve">Concerns were initially raised </w:t>
      </w:r>
      <w:r w:rsidR="00027014">
        <w:rPr>
          <w:rFonts w:ascii="Arial" w:eastAsia="Times New Roman" w:hAnsi="Arial"/>
          <w:iCs/>
          <w:sz w:val="24"/>
        </w:rPr>
        <w:t xml:space="preserve">about the likely need to remove </w:t>
      </w:r>
      <w:r w:rsidR="004A0458">
        <w:rPr>
          <w:rFonts w:ascii="Arial" w:eastAsia="Times New Roman" w:hAnsi="Arial"/>
          <w:iCs/>
          <w:sz w:val="24"/>
        </w:rPr>
        <w:t xml:space="preserve">the </w:t>
      </w:r>
      <w:r w:rsidR="00027014">
        <w:rPr>
          <w:rFonts w:ascii="Arial" w:eastAsia="Times New Roman" w:hAnsi="Arial"/>
          <w:iCs/>
          <w:sz w:val="24"/>
        </w:rPr>
        <w:t>ash tree</w:t>
      </w:r>
      <w:r w:rsidR="004A0458">
        <w:rPr>
          <w:rFonts w:ascii="Arial" w:eastAsia="Times New Roman" w:hAnsi="Arial"/>
          <w:iCs/>
          <w:sz w:val="24"/>
        </w:rPr>
        <w:t xml:space="preserve"> (identified as</w:t>
      </w:r>
      <w:r w:rsidR="00027014">
        <w:rPr>
          <w:rFonts w:ascii="Arial" w:eastAsia="Times New Roman" w:hAnsi="Arial"/>
          <w:iCs/>
          <w:sz w:val="24"/>
        </w:rPr>
        <w:t xml:space="preserve"> T4 </w:t>
      </w:r>
      <w:r w:rsidR="004A0458">
        <w:rPr>
          <w:rFonts w:ascii="Arial" w:eastAsia="Times New Roman" w:hAnsi="Arial"/>
          <w:iCs/>
          <w:sz w:val="24"/>
        </w:rPr>
        <w:t xml:space="preserve">on the submitted plans) </w:t>
      </w:r>
      <w:r w:rsidR="00027014">
        <w:rPr>
          <w:rFonts w:ascii="Arial" w:eastAsia="Times New Roman" w:hAnsi="Arial"/>
          <w:iCs/>
          <w:sz w:val="24"/>
        </w:rPr>
        <w:t>and the encroachment of the proposed two storey side and rear extension on the Root Pr</w:t>
      </w:r>
      <w:r w:rsidR="00C26A82">
        <w:rPr>
          <w:rFonts w:ascii="Arial" w:eastAsia="Times New Roman" w:hAnsi="Arial"/>
          <w:iCs/>
          <w:sz w:val="24"/>
        </w:rPr>
        <w:t xml:space="preserve">otection Area (RPA) of another ash tree (identified on the plans as T2) </w:t>
      </w:r>
      <w:r w:rsidR="00027014">
        <w:rPr>
          <w:rFonts w:ascii="Arial" w:eastAsia="Times New Roman" w:hAnsi="Arial"/>
          <w:iCs/>
          <w:sz w:val="24"/>
        </w:rPr>
        <w:t xml:space="preserve">and impacts on the crown of this tree. Amendments were sought which moved the proposed extension to the rear by approximately 2.7 metres. </w:t>
      </w:r>
    </w:p>
    <w:p w:rsidR="00027014" w:rsidRPr="004A0458" w:rsidRDefault="00CE63E2" w:rsidP="004A0458">
      <w:pPr>
        <w:numPr>
          <w:ilvl w:val="1"/>
          <w:numId w:val="1"/>
        </w:numPr>
        <w:autoSpaceDE w:val="0"/>
        <w:autoSpaceDN w:val="0"/>
        <w:spacing w:after="240"/>
        <w:ind w:left="709" w:hanging="709"/>
        <w:jc w:val="both"/>
        <w:rPr>
          <w:rFonts w:ascii="Arial" w:eastAsia="Times New Roman" w:hAnsi="Arial"/>
          <w:b/>
          <w:iCs/>
          <w:sz w:val="24"/>
        </w:rPr>
      </w:pPr>
      <w:r>
        <w:rPr>
          <w:rFonts w:ascii="Arial" w:eastAsia="Times New Roman" w:hAnsi="Arial"/>
          <w:iCs/>
          <w:sz w:val="24"/>
        </w:rPr>
        <w:t xml:space="preserve">Following the submission of amended plans and a revised </w:t>
      </w:r>
      <w:proofErr w:type="spellStart"/>
      <w:r>
        <w:rPr>
          <w:rFonts w:ascii="Arial" w:eastAsia="Times New Roman" w:hAnsi="Arial"/>
          <w:iCs/>
          <w:sz w:val="24"/>
        </w:rPr>
        <w:t>Arboricultural</w:t>
      </w:r>
      <w:proofErr w:type="spellEnd"/>
      <w:r>
        <w:rPr>
          <w:rFonts w:ascii="Arial" w:eastAsia="Times New Roman" w:hAnsi="Arial"/>
          <w:iCs/>
          <w:sz w:val="24"/>
        </w:rPr>
        <w:t xml:space="preserve"> Impact Assessment i</w:t>
      </w:r>
      <w:r w:rsidR="00027014">
        <w:rPr>
          <w:rFonts w:ascii="Arial" w:eastAsia="Times New Roman" w:hAnsi="Arial"/>
          <w:iCs/>
          <w:sz w:val="24"/>
        </w:rPr>
        <w:t>t is considered that the amended proposals reduce the encroachment within the RPA of ash tree T4 and result in a better spatial relationship with its crown</w:t>
      </w:r>
      <w:r w:rsidR="00C26A82">
        <w:rPr>
          <w:rFonts w:ascii="Arial" w:eastAsia="Times New Roman" w:hAnsi="Arial"/>
          <w:iCs/>
          <w:sz w:val="24"/>
        </w:rPr>
        <w:t>. As a result of these changes the</w:t>
      </w:r>
      <w:r w:rsidR="00027014">
        <w:rPr>
          <w:rFonts w:ascii="Arial" w:eastAsia="Times New Roman" w:hAnsi="Arial"/>
          <w:iCs/>
          <w:sz w:val="24"/>
        </w:rPr>
        <w:t xml:space="preserve"> tree would not need to be removed as a direct result of the development. The encroachment removes a small proportion of the RPA, but it is considered that this can be compensated for within t</w:t>
      </w:r>
      <w:r w:rsidR="00C26A82">
        <w:rPr>
          <w:rFonts w:ascii="Arial" w:eastAsia="Times New Roman" w:hAnsi="Arial"/>
          <w:iCs/>
          <w:sz w:val="24"/>
        </w:rPr>
        <w:t>he park contiguous with the RPA</w:t>
      </w:r>
      <w:r w:rsidR="00027014">
        <w:rPr>
          <w:rFonts w:ascii="Arial" w:eastAsia="Times New Roman" w:hAnsi="Arial"/>
          <w:iCs/>
          <w:sz w:val="24"/>
        </w:rPr>
        <w:t xml:space="preserve"> and officers are satisfied that the viability of the tree </w:t>
      </w:r>
      <w:r w:rsidR="00C26A82">
        <w:rPr>
          <w:rFonts w:ascii="Arial" w:eastAsia="Times New Roman" w:hAnsi="Arial"/>
          <w:iCs/>
          <w:sz w:val="24"/>
        </w:rPr>
        <w:t>would</w:t>
      </w:r>
      <w:r w:rsidR="00027014">
        <w:rPr>
          <w:rFonts w:ascii="Arial" w:eastAsia="Times New Roman" w:hAnsi="Arial"/>
          <w:iCs/>
          <w:sz w:val="24"/>
        </w:rPr>
        <w:t xml:space="preserve"> not be significantly harmed.</w:t>
      </w:r>
      <w:r>
        <w:rPr>
          <w:rFonts w:ascii="Arial" w:eastAsia="Times New Roman" w:hAnsi="Arial"/>
          <w:iCs/>
          <w:sz w:val="24"/>
        </w:rPr>
        <w:t xml:space="preserve"> </w:t>
      </w:r>
      <w:r w:rsidR="00027014">
        <w:rPr>
          <w:rFonts w:ascii="Arial" w:eastAsia="Times New Roman" w:hAnsi="Arial"/>
          <w:iCs/>
          <w:sz w:val="24"/>
        </w:rPr>
        <w:t>Subject to recommended conditions, the proposals are not considered to compromise existing trees that are significant to public amenity in the area</w:t>
      </w:r>
      <w:r w:rsidR="00C26A82">
        <w:rPr>
          <w:rFonts w:ascii="Arial" w:eastAsia="Times New Roman" w:hAnsi="Arial"/>
          <w:iCs/>
          <w:sz w:val="24"/>
        </w:rPr>
        <w:t>; as a result it is considered that the proposals</w:t>
      </w:r>
      <w:r w:rsidR="00027014">
        <w:rPr>
          <w:rFonts w:ascii="Arial" w:eastAsia="Times New Roman" w:hAnsi="Arial"/>
          <w:iCs/>
          <w:sz w:val="24"/>
        </w:rPr>
        <w:t xml:space="preserve"> comply with policies CP1, CP11, NE15 and NE16 of the Oxford Local Plan and G8 of the emerging Oxford Local Plan 2036, noting that </w:t>
      </w:r>
      <w:r w:rsidR="00D41865">
        <w:rPr>
          <w:rFonts w:ascii="Arial" w:eastAsia="Times New Roman" w:hAnsi="Arial"/>
          <w:iCs/>
          <w:sz w:val="24"/>
        </w:rPr>
        <w:t xml:space="preserve">it only has limited weight at this time. </w:t>
      </w:r>
      <w:r w:rsidR="00027014">
        <w:rPr>
          <w:rFonts w:ascii="Arial" w:eastAsia="Times New Roman" w:hAnsi="Arial"/>
          <w:iCs/>
          <w:sz w:val="24"/>
        </w:rPr>
        <w:t xml:space="preserve"> </w:t>
      </w:r>
    </w:p>
    <w:p w:rsidR="004A0458" w:rsidRDefault="004A0458" w:rsidP="004A0458">
      <w:pPr>
        <w:pStyle w:val="ListParagraph"/>
        <w:numPr>
          <w:ilvl w:val="0"/>
          <w:numId w:val="5"/>
        </w:numPr>
        <w:autoSpaceDE w:val="0"/>
        <w:autoSpaceDN w:val="0"/>
        <w:spacing w:after="240"/>
        <w:jc w:val="both"/>
        <w:rPr>
          <w:rFonts w:ascii="Arial" w:eastAsia="Times New Roman" w:hAnsi="Arial"/>
          <w:b/>
          <w:iCs/>
          <w:sz w:val="24"/>
        </w:rPr>
      </w:pPr>
      <w:r w:rsidRPr="004A0458">
        <w:rPr>
          <w:rFonts w:ascii="Arial" w:eastAsia="Times New Roman" w:hAnsi="Arial"/>
          <w:b/>
          <w:iCs/>
          <w:sz w:val="24"/>
        </w:rPr>
        <w:t>Flooding and Drainage</w:t>
      </w:r>
    </w:p>
    <w:p w:rsidR="00880A13" w:rsidRDefault="00880A13" w:rsidP="00880A13">
      <w:pPr>
        <w:pStyle w:val="ListParagraph"/>
        <w:ind w:left="1069"/>
        <w:jc w:val="both"/>
      </w:pPr>
    </w:p>
    <w:p w:rsidR="00880A13" w:rsidRPr="00880A13" w:rsidRDefault="00880A13" w:rsidP="00880A13">
      <w:pPr>
        <w:pStyle w:val="PARAGRAPHA"/>
        <w:ind w:left="709" w:hanging="709"/>
        <w:rPr>
          <w:iCs/>
        </w:rPr>
      </w:pPr>
      <w:r w:rsidRPr="00DA272B">
        <w:t>Policy CS11 of the Core Strategy relates to drainage and flooding. Whilst the proposed development i</w:t>
      </w:r>
      <w:r>
        <w:t xml:space="preserve">s located in flood zone 1 and is at a low risk from </w:t>
      </w:r>
      <w:r>
        <w:lastRenderedPageBreak/>
        <w:t>flooding</w:t>
      </w:r>
      <w:r w:rsidRPr="00DA272B">
        <w:t>, it results in the loss of green garden land and increases impermeable areas on the site. To ensure that the proposed development does not result in an increase in surface water run-off which could contribute to flooding elsewhere, sustainable drainage would need to</w:t>
      </w:r>
      <w:r w:rsidR="00A1413A">
        <w:t xml:space="preserve"> be incorporated into the site which would be secured </w:t>
      </w:r>
      <w:r w:rsidRPr="00880A13">
        <w:rPr>
          <w:iCs/>
        </w:rPr>
        <w:t xml:space="preserve">by </w:t>
      </w:r>
      <w:r w:rsidR="00A1413A">
        <w:rPr>
          <w:iCs/>
        </w:rPr>
        <w:t xml:space="preserve">the recommended </w:t>
      </w:r>
      <w:r w:rsidRPr="00880A13">
        <w:rPr>
          <w:iCs/>
        </w:rPr>
        <w:t>condition</w:t>
      </w:r>
      <w:r w:rsidR="00A1413A">
        <w:rPr>
          <w:iCs/>
        </w:rPr>
        <w:t>.</w:t>
      </w:r>
      <w:r w:rsidRPr="00880A13">
        <w:rPr>
          <w:iCs/>
        </w:rPr>
        <w:t xml:space="preserve"> </w:t>
      </w: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CONCLUSION</w:t>
      </w:r>
    </w:p>
    <w:p w:rsidR="008766E8" w:rsidRDefault="008766E8" w:rsidP="00516683">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rsidR="008766E8" w:rsidRDefault="008766E8" w:rsidP="00516683">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rsidR="008766E8" w:rsidRDefault="008766E8" w:rsidP="00516683">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Therefore in conclusion it would be necessary to consider the degree to which the proposal complies with </w:t>
      </w:r>
      <w:proofErr w:type="gramStart"/>
      <w:r>
        <w:rPr>
          <w:rFonts w:ascii="Arial" w:eastAsia="Times New Roman" w:hAnsi="Arial"/>
          <w:sz w:val="24"/>
        </w:rPr>
        <w:t>the polices</w:t>
      </w:r>
      <w:proofErr w:type="gramEnd"/>
      <w:r>
        <w:rPr>
          <w:rFonts w:ascii="Arial" w:eastAsia="Times New Roman" w:hAnsi="Arial"/>
          <w:sz w:val="24"/>
        </w:rPr>
        <w:t xml:space="preserve"> of the development plan as a whole and whether there are any material considerations, such as the NPPF, which are inconsistent with the result of the application of the development plan as a whole. </w:t>
      </w:r>
    </w:p>
    <w:p w:rsidR="008766E8" w:rsidRPr="0097535A" w:rsidRDefault="008766E8" w:rsidP="00516683">
      <w:pPr>
        <w:numPr>
          <w:ilvl w:val="1"/>
          <w:numId w:val="1"/>
        </w:numPr>
        <w:autoSpaceDE w:val="0"/>
        <w:autoSpaceDN w:val="0"/>
        <w:spacing w:after="240"/>
        <w:ind w:left="709" w:hanging="709"/>
        <w:jc w:val="both"/>
        <w:rPr>
          <w:rFonts w:ascii="Arial" w:eastAsia="Times New Roman" w:hAnsi="Arial"/>
          <w:sz w:val="24"/>
        </w:rPr>
      </w:pPr>
      <w:r w:rsidRPr="0097535A">
        <w:rPr>
          <w:rFonts w:ascii="Arial" w:eastAsia="Times New Roman" w:hAnsi="Arial"/>
          <w:sz w:val="24"/>
        </w:rPr>
        <w:t>In summary, the proposed development would</w:t>
      </w:r>
      <w:r>
        <w:rPr>
          <w:rFonts w:ascii="Arial" w:eastAsia="Times New Roman" w:hAnsi="Arial"/>
          <w:sz w:val="24"/>
        </w:rPr>
        <w:t xml:space="preserve"> be an acceptable addition to the existing </w:t>
      </w:r>
      <w:proofErr w:type="spellStart"/>
      <w:r>
        <w:rPr>
          <w:rFonts w:ascii="Arial" w:eastAsia="Times New Roman" w:hAnsi="Arial"/>
          <w:sz w:val="24"/>
        </w:rPr>
        <w:t>dwellinghouse</w:t>
      </w:r>
      <w:proofErr w:type="spellEnd"/>
      <w:r>
        <w:rPr>
          <w:rFonts w:ascii="Arial" w:eastAsia="Times New Roman" w:hAnsi="Arial"/>
          <w:sz w:val="24"/>
        </w:rPr>
        <w:t xml:space="preserve">. The proposals are suitable in design terms and comply with policies </w:t>
      </w:r>
      <w:r>
        <w:rPr>
          <w:rFonts w:ascii="Arial" w:eastAsia="Times New Roman" w:hAnsi="Arial"/>
          <w:iCs/>
          <w:sz w:val="24"/>
        </w:rPr>
        <w:t xml:space="preserve">CP1, CP8 and CP10 of the Oxford Local Plan 2001-2016, HP9 of the Sites and Housing Plan, CS18 of the Core Strategy and DH1 of the emerging Oxford Local Plan 2036. The proposals </w:t>
      </w:r>
      <w:r>
        <w:rPr>
          <w:rFonts w:ascii="Arial" w:eastAsia="Times New Roman" w:hAnsi="Arial"/>
          <w:sz w:val="24"/>
        </w:rPr>
        <w:t xml:space="preserve">would not result in any harm to neighbouring amenity and are compliant with HP14 of the Sites and Housing Plan and H14 of the emerging Oxford Local Plan. The proposals would also not compromise any trees which make an important contribution to public amenity and are compliant with NE15 </w:t>
      </w:r>
      <w:r w:rsidR="005F1383">
        <w:rPr>
          <w:rFonts w:ascii="Arial" w:eastAsia="Times New Roman" w:hAnsi="Arial"/>
          <w:sz w:val="24"/>
        </w:rPr>
        <w:t xml:space="preserve">and NE16 </w:t>
      </w:r>
      <w:r>
        <w:rPr>
          <w:rFonts w:ascii="Arial" w:eastAsia="Times New Roman" w:hAnsi="Arial"/>
          <w:sz w:val="24"/>
        </w:rPr>
        <w:t xml:space="preserve">of the Oxford Local Plan and G8 of the emerging Oxford Local Plan 2036.   </w:t>
      </w:r>
    </w:p>
    <w:p w:rsidR="008766E8" w:rsidRDefault="008766E8" w:rsidP="00516683">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Therefore officers consider that the proposal would accord with the development plan as a whole. </w:t>
      </w:r>
    </w:p>
    <w:p w:rsidR="008766E8" w:rsidRPr="00D73CED" w:rsidRDefault="008766E8" w:rsidP="00271EA8">
      <w:pPr>
        <w:autoSpaceDE w:val="0"/>
        <w:autoSpaceDN w:val="0"/>
        <w:spacing w:after="240"/>
        <w:ind w:left="709"/>
        <w:jc w:val="both"/>
        <w:rPr>
          <w:rFonts w:ascii="Arial" w:eastAsia="Times New Roman" w:hAnsi="Arial"/>
          <w:i/>
          <w:sz w:val="24"/>
        </w:rPr>
      </w:pPr>
      <w:r>
        <w:rPr>
          <w:rFonts w:ascii="Arial" w:eastAsia="Times New Roman" w:hAnsi="Arial"/>
          <w:i/>
          <w:sz w:val="24"/>
        </w:rPr>
        <w:t>Material consideration</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The principal material considerations which arise are addressed below, and follow the analysis set out in earlier sections of this report. </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lastRenderedPageBreak/>
        <w:t xml:space="preserve">National Planning Policy: the NPPF has a presumption in favour of sustainable development. </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 </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Officers would advise members that, having considered the application carefully, the proposal is considered to be 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rsidR="008766E8" w:rsidRDefault="008766E8" w:rsidP="00271EA8">
      <w:pPr>
        <w:numPr>
          <w:ilvl w:val="1"/>
          <w:numId w:val="1"/>
        </w:numPr>
        <w:autoSpaceDE w:val="0"/>
        <w:autoSpaceDN w:val="0"/>
        <w:spacing w:after="240"/>
        <w:ind w:left="709" w:hanging="709"/>
        <w:jc w:val="both"/>
        <w:rPr>
          <w:rFonts w:ascii="Arial" w:eastAsia="Times New Roman" w:hAnsi="Arial"/>
          <w:sz w:val="24"/>
        </w:rPr>
      </w:pPr>
      <w:r>
        <w:rPr>
          <w:rFonts w:ascii="Arial" w:eastAsia="Times New Roman" w:hAnsi="Arial"/>
          <w:sz w:val="24"/>
        </w:rPr>
        <w:t xml:space="preserve">Therefore it is recommended that the Committee resolve to grant planning permission for the development proposed subject to the conditions set out in Section 12 of this report. </w:t>
      </w:r>
    </w:p>
    <w:p w:rsidR="00374EAA" w:rsidRDefault="00374EAA" w:rsidP="00271EA8">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CONDITIONS</w:t>
      </w:r>
    </w:p>
    <w:p w:rsidR="003A0EC8" w:rsidRDefault="003A0EC8" w:rsidP="003A0EC8">
      <w:pPr>
        <w:autoSpaceDE w:val="0"/>
        <w:autoSpaceDN w:val="0"/>
        <w:spacing w:after="240"/>
        <w:ind w:left="709"/>
        <w:rPr>
          <w:rFonts w:ascii="Arial" w:eastAsia="Times New Roman" w:hAnsi="Arial"/>
          <w:b/>
          <w:sz w:val="24"/>
        </w:rPr>
      </w:pPr>
      <w:r>
        <w:rPr>
          <w:rFonts w:ascii="Arial" w:eastAsia="Times New Roman" w:hAnsi="Arial"/>
          <w:b/>
          <w:sz w:val="24"/>
        </w:rPr>
        <w:t>1. Time Limit</w:t>
      </w:r>
      <w:r>
        <w:rPr>
          <w:rFonts w:ascii="Arial" w:eastAsia="Times New Roman" w:hAnsi="Arial"/>
          <w:b/>
          <w:sz w:val="24"/>
        </w:rPr>
        <w:tab/>
      </w:r>
    </w:p>
    <w:p w:rsidR="00B84310" w:rsidRDefault="00B84310" w:rsidP="003A0EC8">
      <w:pPr>
        <w:pStyle w:val="PARAGRAPHA"/>
        <w:numPr>
          <w:ilvl w:val="0"/>
          <w:numId w:val="0"/>
        </w:numPr>
        <w:ind w:left="709"/>
        <w:rPr>
          <w:b/>
        </w:rPr>
      </w:pPr>
      <w:r w:rsidRPr="005B21A6">
        <w:t>The development to which this permission relates must be begun not later than the expiration of three years from the date of this permission.</w:t>
      </w:r>
      <w:r>
        <w:rPr>
          <w:b/>
        </w:rPr>
        <w:t xml:space="preserve"> </w:t>
      </w:r>
    </w:p>
    <w:p w:rsidR="00B84310" w:rsidRPr="005B21A6" w:rsidRDefault="00B84310" w:rsidP="00B84310">
      <w:pPr>
        <w:pStyle w:val="PARAGRAPHA"/>
        <w:numPr>
          <w:ilvl w:val="0"/>
          <w:numId w:val="0"/>
        </w:numPr>
        <w:ind w:left="709"/>
        <w:rPr>
          <w:b/>
        </w:rPr>
      </w:pPr>
      <w:r w:rsidRPr="005B21A6">
        <w:rPr>
          <w:rFonts w:ascii="ArialMT" w:hAnsi="ArialMT" w:cs="ArialMT"/>
          <w:szCs w:val="22"/>
        </w:rPr>
        <w:t>Reason: In accordance with Section 91(1) of the Town and Country Planning Act 1990 as</w:t>
      </w:r>
      <w:r>
        <w:rPr>
          <w:rFonts w:ascii="ArialMT" w:hAnsi="ArialMT" w:cs="ArialMT"/>
          <w:szCs w:val="22"/>
        </w:rPr>
        <w:t xml:space="preserve"> </w:t>
      </w:r>
      <w:r w:rsidRPr="005B21A6">
        <w:rPr>
          <w:rFonts w:ascii="ArialMT" w:hAnsi="ArialMT" w:cs="ArialMT"/>
          <w:szCs w:val="22"/>
        </w:rPr>
        <w:t>amended by the Planning Compulsory Purchase Act 2004.</w:t>
      </w:r>
    </w:p>
    <w:p w:rsidR="003A0EC8" w:rsidRPr="003A0EC8" w:rsidRDefault="003A0EC8" w:rsidP="003A0EC8">
      <w:pPr>
        <w:pStyle w:val="PARAGRAPHA"/>
        <w:numPr>
          <w:ilvl w:val="0"/>
          <w:numId w:val="0"/>
        </w:numPr>
        <w:ind w:left="709"/>
        <w:rPr>
          <w:b/>
        </w:rPr>
      </w:pPr>
      <w:r w:rsidRPr="003A0EC8">
        <w:rPr>
          <w:b/>
        </w:rPr>
        <w:t>2. Develop in Accordance with Approved Plans</w:t>
      </w:r>
    </w:p>
    <w:p w:rsidR="00B84310" w:rsidRPr="005B21A6" w:rsidRDefault="00B84310" w:rsidP="003A0EC8">
      <w:pPr>
        <w:pStyle w:val="PARAGRAPHA"/>
        <w:numPr>
          <w:ilvl w:val="0"/>
          <w:numId w:val="0"/>
        </w:numPr>
        <w:ind w:left="709"/>
        <w:rPr>
          <w:b/>
        </w:rPr>
      </w:pPr>
      <w:r>
        <w:t xml:space="preserve">The development permitted shall be constructed in complete accordance with the specifications in the application and approved plans listed below, unless otherwise agreed in writing by the local planning authority. </w:t>
      </w:r>
    </w:p>
    <w:p w:rsidR="00B84310" w:rsidRPr="005B21A6" w:rsidRDefault="00B84310" w:rsidP="00B84310">
      <w:pPr>
        <w:pStyle w:val="PARAGRAPHA"/>
        <w:numPr>
          <w:ilvl w:val="0"/>
          <w:numId w:val="0"/>
        </w:numPr>
        <w:ind w:left="709"/>
        <w:rPr>
          <w:b/>
        </w:rPr>
      </w:pPr>
      <w:r>
        <w:t>Reason: To avoid doubt and to ensure an acceptable development as indicated on the submitted drawings in accordance with policy CP1 of the Oxford Local Plan 2001-2016.</w:t>
      </w:r>
    </w:p>
    <w:p w:rsidR="00EA457E" w:rsidRDefault="003A0EC8" w:rsidP="00B84310">
      <w:pPr>
        <w:pStyle w:val="PARAGRAPHA"/>
        <w:numPr>
          <w:ilvl w:val="0"/>
          <w:numId w:val="0"/>
        </w:numPr>
        <w:ind w:left="709" w:hanging="709"/>
        <w:rPr>
          <w:b/>
        </w:rPr>
      </w:pPr>
      <w:r w:rsidRPr="003A0EC8">
        <w:rPr>
          <w:b/>
        </w:rPr>
        <w:tab/>
      </w:r>
    </w:p>
    <w:p w:rsidR="00EA457E" w:rsidRDefault="00EA457E" w:rsidP="00B84310">
      <w:pPr>
        <w:pStyle w:val="PARAGRAPHA"/>
        <w:numPr>
          <w:ilvl w:val="0"/>
          <w:numId w:val="0"/>
        </w:numPr>
        <w:ind w:left="709" w:hanging="709"/>
        <w:rPr>
          <w:b/>
        </w:rPr>
      </w:pPr>
    </w:p>
    <w:p w:rsidR="003A0EC8" w:rsidRPr="003A0EC8" w:rsidRDefault="003A0EC8" w:rsidP="00EA457E">
      <w:pPr>
        <w:pStyle w:val="PARAGRAPHA"/>
        <w:numPr>
          <w:ilvl w:val="0"/>
          <w:numId w:val="0"/>
        </w:numPr>
        <w:ind w:left="1418" w:hanging="709"/>
        <w:rPr>
          <w:b/>
        </w:rPr>
      </w:pPr>
      <w:r w:rsidRPr="003A0EC8">
        <w:rPr>
          <w:b/>
        </w:rPr>
        <w:lastRenderedPageBreak/>
        <w:t>3. Materials</w:t>
      </w:r>
    </w:p>
    <w:p w:rsidR="00B84310" w:rsidRPr="005B21A6" w:rsidRDefault="00B84310" w:rsidP="003A0EC8">
      <w:pPr>
        <w:pStyle w:val="PARAGRAPHA"/>
        <w:numPr>
          <w:ilvl w:val="0"/>
          <w:numId w:val="0"/>
        </w:numPr>
        <w:ind w:left="709"/>
        <w:rPr>
          <w:b/>
        </w:rPr>
      </w:pPr>
      <w:r>
        <w:t xml:space="preserve">The materials to be used in the proposed development shall be as specified in the application hereby approved. There shall be no variation of these materials without the prior written consent of the local planning authority. </w:t>
      </w:r>
    </w:p>
    <w:p w:rsidR="00B84310" w:rsidRDefault="00B84310" w:rsidP="00B84310">
      <w:pPr>
        <w:pStyle w:val="PARAGRAPHA"/>
        <w:numPr>
          <w:ilvl w:val="0"/>
          <w:numId w:val="0"/>
        </w:numPr>
        <w:ind w:left="709"/>
      </w:pPr>
      <w:r>
        <w:t>Reason: To ensure that the development is visually satisfactory as require by policy CP1 of the Oxford Local Plan 2001-2016.</w:t>
      </w:r>
    </w:p>
    <w:p w:rsidR="003A0EC8" w:rsidRPr="00620127" w:rsidRDefault="00620127" w:rsidP="00B84310">
      <w:pPr>
        <w:pStyle w:val="PARAGRAPHA"/>
        <w:numPr>
          <w:ilvl w:val="0"/>
          <w:numId w:val="0"/>
        </w:numPr>
        <w:ind w:left="709" w:hanging="709"/>
        <w:rPr>
          <w:b/>
        </w:rPr>
      </w:pPr>
      <w:r>
        <w:tab/>
      </w:r>
      <w:r w:rsidRPr="00620127">
        <w:rPr>
          <w:b/>
        </w:rPr>
        <w:t>4. Drainage and SUDs</w:t>
      </w:r>
    </w:p>
    <w:p w:rsidR="00B84310" w:rsidRDefault="00B84310" w:rsidP="00620127">
      <w:pPr>
        <w:pStyle w:val="PARAGRAPHA"/>
        <w:numPr>
          <w:ilvl w:val="0"/>
          <w:numId w:val="0"/>
        </w:numPr>
        <w:ind w:left="709"/>
      </w:pPr>
      <w:r w:rsidRPr="0090488A">
        <w:t>All Impermeable areas of the proposed development, including roofs, d</w:t>
      </w:r>
      <w:r>
        <w:t>riveways, and patio areas shall</w:t>
      </w:r>
      <w:r w:rsidRPr="0090488A">
        <w:t xml:space="preserve"> be drained using Sustainable Drainage measures (</w:t>
      </w:r>
      <w:proofErr w:type="spellStart"/>
      <w:r w:rsidRPr="0090488A">
        <w:t>SuDS</w:t>
      </w:r>
      <w:proofErr w:type="spellEnd"/>
      <w:r w:rsidRPr="0090488A">
        <w:t>).</w:t>
      </w:r>
    </w:p>
    <w:p w:rsidR="00B84310" w:rsidRDefault="00B84310" w:rsidP="00B84310">
      <w:pPr>
        <w:pStyle w:val="PARAGRAPHA"/>
        <w:numPr>
          <w:ilvl w:val="0"/>
          <w:numId w:val="0"/>
        </w:numPr>
        <w:ind w:left="709"/>
      </w:pPr>
      <w:r w:rsidRPr="0090488A">
        <w:t>This may include the use of porous pavements and infiltration, or attenuation storage to decrease the run off rates and volumes to public surface water sewers and thus reduce flooding.</w:t>
      </w:r>
    </w:p>
    <w:p w:rsidR="00B84310" w:rsidRDefault="00B84310" w:rsidP="00B84310">
      <w:pPr>
        <w:pStyle w:val="PARAGRAPHA"/>
        <w:numPr>
          <w:ilvl w:val="0"/>
          <w:numId w:val="0"/>
        </w:numPr>
        <w:ind w:left="709"/>
      </w:pPr>
      <w:r>
        <w:t>Soakage tests shall</w:t>
      </w:r>
      <w:r w:rsidRPr="0090488A">
        <w:t xml:space="preserve"> be carried out in accordance with BRE Digest 365 or similar approved method to prove the feasibility/effectiveness of soakaways or filter trenches.</w:t>
      </w:r>
    </w:p>
    <w:p w:rsidR="00B84310" w:rsidRDefault="00B84310" w:rsidP="00B84310">
      <w:pPr>
        <w:pStyle w:val="PARAGRAPHA"/>
        <w:numPr>
          <w:ilvl w:val="0"/>
          <w:numId w:val="0"/>
        </w:numPr>
        <w:ind w:left="709"/>
      </w:pPr>
      <w:r w:rsidRPr="0090488A">
        <w:t>Where infiltration is no</w:t>
      </w:r>
      <w:r>
        <w:t>t feasible, surface water shall</w:t>
      </w:r>
      <w:r w:rsidRPr="0090488A">
        <w:t xml:space="preserve"> be attenuated on site and discharged at a controlled discharge rate no greater than prior to development using appropriate </w:t>
      </w:r>
      <w:proofErr w:type="spellStart"/>
      <w:r w:rsidRPr="0090488A">
        <w:t>SuDS</w:t>
      </w:r>
      <w:proofErr w:type="spellEnd"/>
      <w:r w:rsidRPr="0090488A">
        <w:t xml:space="preserve"> techniques and in consultation with the sewerage undertaker where required.</w:t>
      </w:r>
    </w:p>
    <w:p w:rsidR="00B84310" w:rsidRDefault="00B84310" w:rsidP="00B84310">
      <w:pPr>
        <w:pStyle w:val="PARAGRAPHA"/>
        <w:numPr>
          <w:ilvl w:val="0"/>
          <w:numId w:val="0"/>
        </w:numPr>
        <w:ind w:left="709"/>
      </w:pPr>
      <w:r w:rsidRPr="0090488A">
        <w:t xml:space="preserve">If the </w:t>
      </w:r>
      <w:proofErr w:type="gramStart"/>
      <w:r w:rsidRPr="0090488A">
        <w:t xml:space="preserve">use of </w:t>
      </w:r>
      <w:proofErr w:type="spellStart"/>
      <w:r w:rsidRPr="0090488A">
        <w:t>SuDS</w:t>
      </w:r>
      <w:proofErr w:type="spellEnd"/>
      <w:r w:rsidRPr="0090488A">
        <w:t xml:space="preserve"> are</w:t>
      </w:r>
      <w:proofErr w:type="gramEnd"/>
      <w:r w:rsidRPr="0090488A">
        <w:t xml:space="preserve"> not reasonably practical, the design of the sur</w:t>
      </w:r>
      <w:r>
        <w:t>face water drainage system shall</w:t>
      </w:r>
      <w:r w:rsidRPr="0090488A">
        <w:t xml:space="preserve"> be carried out in accordance with Approved Document H of the Building Regulations.</w:t>
      </w:r>
    </w:p>
    <w:p w:rsidR="00B84310" w:rsidRDefault="00B84310" w:rsidP="00B84310">
      <w:pPr>
        <w:pStyle w:val="PARAGRAPHA"/>
        <w:numPr>
          <w:ilvl w:val="0"/>
          <w:numId w:val="0"/>
        </w:numPr>
        <w:ind w:left="709"/>
      </w:pPr>
      <w:r>
        <w:t>The drainage system shall</w:t>
      </w:r>
      <w:r w:rsidRPr="0090488A">
        <w:t xml:space="preserve"> be designed and maintained to remain functional, safe, and accessible for the lifetime of the development.</w:t>
      </w:r>
    </w:p>
    <w:p w:rsidR="00B84310" w:rsidRDefault="00B84310" w:rsidP="00B84310">
      <w:pPr>
        <w:pStyle w:val="PARAGRAPHA"/>
        <w:numPr>
          <w:ilvl w:val="0"/>
          <w:numId w:val="0"/>
        </w:numPr>
        <w:ind w:left="709"/>
      </w:pPr>
      <w:r w:rsidRPr="0090488A">
        <w:t xml:space="preserve">Oxford City Council </w:t>
      </w:r>
      <w:proofErr w:type="spellStart"/>
      <w:r w:rsidRPr="0090488A">
        <w:t>SuDS</w:t>
      </w:r>
      <w:proofErr w:type="spellEnd"/>
      <w:r w:rsidRPr="0090488A">
        <w:t xml:space="preserve"> Design Guide can be found at </w:t>
      </w:r>
      <w:hyperlink r:id="rId9" w:history="1">
        <w:r w:rsidRPr="00717725">
          <w:rPr>
            <w:rStyle w:val="Hyperlink"/>
          </w:rPr>
          <w:t>www.oxford.gov.uk/floodriskforplanning</w:t>
        </w:r>
      </w:hyperlink>
    </w:p>
    <w:p w:rsidR="00B84310" w:rsidRPr="00620127" w:rsidRDefault="00B84310" w:rsidP="00B84310">
      <w:pPr>
        <w:pStyle w:val="PARAGRAPHA"/>
        <w:numPr>
          <w:ilvl w:val="0"/>
          <w:numId w:val="0"/>
        </w:numPr>
        <w:ind w:left="709"/>
        <w:rPr>
          <w:b/>
        </w:rPr>
      </w:pPr>
      <w:r w:rsidRPr="0090488A">
        <w:t>Reason: To avoid increasing surface water run-off and volumes to prevent an increase in flood risk in accordance with policies CS11 of the Oxford Core Strategy 2011-2026</w:t>
      </w:r>
    </w:p>
    <w:p w:rsidR="00620127" w:rsidRPr="00620127" w:rsidRDefault="00620127" w:rsidP="00620127">
      <w:pPr>
        <w:pStyle w:val="PARAGRAPHA"/>
        <w:numPr>
          <w:ilvl w:val="0"/>
          <w:numId w:val="0"/>
        </w:numPr>
        <w:ind w:left="709"/>
        <w:rPr>
          <w:b/>
        </w:rPr>
      </w:pPr>
      <w:r w:rsidRPr="00620127">
        <w:rPr>
          <w:b/>
        </w:rPr>
        <w:t>5. Tree Protection Measures</w:t>
      </w:r>
    </w:p>
    <w:p w:rsidR="00B84310" w:rsidRDefault="00B84310" w:rsidP="00620127">
      <w:pPr>
        <w:pStyle w:val="PARAGRAPHA"/>
        <w:numPr>
          <w:ilvl w:val="0"/>
          <w:numId w:val="0"/>
        </w:numPr>
        <w:ind w:left="709"/>
      </w:pPr>
      <w:r w:rsidRPr="006D5CDD">
        <w:t xml:space="preserve">The development shall be carried out in strict accordance with the approved methods of working and </w:t>
      </w:r>
      <w:r>
        <w:t xml:space="preserve">approved </w:t>
      </w:r>
      <w:r w:rsidRPr="006D5CDD">
        <w:t>tree protection measures contained within the planning application details unless otherwise agreed in writing by the L</w:t>
      </w:r>
      <w:r>
        <w:t xml:space="preserve">ocal </w:t>
      </w:r>
      <w:r w:rsidRPr="006D5CDD">
        <w:t>P</w:t>
      </w:r>
      <w:r>
        <w:t xml:space="preserve">lanning </w:t>
      </w:r>
      <w:r w:rsidRPr="006D5CDD">
        <w:t>A</w:t>
      </w:r>
      <w:r>
        <w:t>uthority</w:t>
      </w:r>
      <w:r w:rsidRPr="006D5CDD">
        <w:t>.</w:t>
      </w:r>
    </w:p>
    <w:p w:rsidR="00B84310" w:rsidRPr="0090488A" w:rsidRDefault="00B84310" w:rsidP="00B84310">
      <w:pPr>
        <w:pStyle w:val="PARAGRAPHA"/>
        <w:numPr>
          <w:ilvl w:val="0"/>
          <w:numId w:val="0"/>
        </w:numPr>
        <w:ind w:left="709"/>
      </w:pPr>
      <w:r w:rsidRPr="006D5CDD">
        <w:t>Reason: To protect retain</w:t>
      </w:r>
      <w:r>
        <w:t xml:space="preserve">ed trees during construction. </w:t>
      </w:r>
      <w:proofErr w:type="gramStart"/>
      <w:r w:rsidRPr="006D5CDD">
        <w:t>In accordance with policies CP1, CP11 and NE16 of the Adopted Local Plan 2001-2016.</w:t>
      </w:r>
      <w:proofErr w:type="gramEnd"/>
    </w:p>
    <w:p w:rsidR="00374EAA" w:rsidRPr="00374EAA" w:rsidRDefault="00374EAA" w:rsidP="00271EA8">
      <w:pPr>
        <w:widowControl w:val="0"/>
        <w:autoSpaceDE w:val="0"/>
        <w:autoSpaceDN w:val="0"/>
        <w:ind w:left="709"/>
        <w:rPr>
          <w:rFonts w:ascii="Arial" w:eastAsia="Times New Roman" w:hAnsi="Arial"/>
          <w:sz w:val="24"/>
        </w:rPr>
      </w:pPr>
      <w:r w:rsidRPr="00374EAA">
        <w:rPr>
          <w:rFonts w:ascii="Arial" w:eastAsia="Times New Roman" w:hAnsi="Arial"/>
          <w:sz w:val="24"/>
          <w:u w:val="single"/>
        </w:rPr>
        <w:lastRenderedPageBreak/>
        <w:t>INFORMATIVES</w:t>
      </w:r>
      <w:r w:rsidRPr="00374EAA">
        <w:rPr>
          <w:rFonts w:ascii="Arial" w:eastAsia="Times New Roman" w:hAnsi="Arial"/>
          <w:sz w:val="24"/>
        </w:rPr>
        <w:t>:</w:t>
      </w:r>
      <w:bookmarkStart w:id="0" w:name="_GoBack"/>
      <w:bookmarkEnd w:id="0"/>
    </w:p>
    <w:p w:rsidR="00374EAA" w:rsidRPr="00374EAA" w:rsidRDefault="00374EAA" w:rsidP="00271EA8">
      <w:pPr>
        <w:widowControl w:val="0"/>
        <w:autoSpaceDE w:val="0"/>
        <w:autoSpaceDN w:val="0"/>
        <w:ind w:left="709" w:hanging="709"/>
        <w:rPr>
          <w:rFonts w:ascii="Arial" w:eastAsia="Times New Roman" w:hAnsi="Arial"/>
          <w:sz w:val="24"/>
        </w:rPr>
      </w:pPr>
    </w:p>
    <w:p w:rsidR="00374EAA" w:rsidRPr="00374EAA" w:rsidRDefault="00374EAA" w:rsidP="00271EA8">
      <w:pPr>
        <w:widowControl w:val="0"/>
        <w:autoSpaceDE w:val="0"/>
        <w:autoSpaceDN w:val="0"/>
        <w:ind w:left="709" w:hanging="709"/>
        <w:rPr>
          <w:rFonts w:ascii="Arial" w:eastAsia="Times New Roman" w:hAnsi="Arial"/>
          <w:sz w:val="24"/>
        </w:rPr>
      </w:pPr>
      <w:r w:rsidRPr="00374EAA">
        <w:rPr>
          <w:rFonts w:ascii="Arial" w:eastAsia="Times New Roman" w:hAnsi="Arial"/>
          <w:sz w:val="24"/>
        </w:rPr>
        <w:t xml:space="preserve"> 1</w:t>
      </w:r>
      <w:r w:rsidRPr="00374EAA">
        <w:rPr>
          <w:rFonts w:ascii="Arial" w:eastAsia="Times New Roman" w:hAnsi="Arial"/>
          <w:sz w:val="24"/>
        </w:rPr>
        <w:tab/>
        <w:t xml:space="preserve">In accordance with guidance set out in the National Planning Policy Framework, the Council tries to work positively and proactively with applicants towards achieving sustainable development </w:t>
      </w:r>
      <w:proofErr w:type="gramStart"/>
      <w:r w:rsidRPr="00374EAA">
        <w:rPr>
          <w:rFonts w:ascii="Arial" w:eastAsia="Times New Roman" w:hAnsi="Arial"/>
          <w:sz w:val="24"/>
        </w:rPr>
        <w:t>that accords</w:t>
      </w:r>
      <w:proofErr w:type="gramEnd"/>
      <w:r w:rsidRPr="00374EAA">
        <w:rPr>
          <w:rFonts w:ascii="Arial" w:eastAsia="Times New Roman" w:hAnsi="Arial"/>
          <w:sz w:val="24"/>
        </w:rPr>
        <w:t xml:space="preserve">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rsidR="00374EAA" w:rsidRPr="00374EAA" w:rsidRDefault="00374EAA" w:rsidP="00374EAA">
      <w:pPr>
        <w:autoSpaceDE w:val="0"/>
        <w:autoSpaceDN w:val="0"/>
        <w:rPr>
          <w:rFonts w:ascii="Arial" w:eastAsia="Times New Roman" w:hAnsi="Arial"/>
          <w:sz w:val="24"/>
        </w:rPr>
      </w:pPr>
    </w:p>
    <w:p w:rsidR="00374EAA" w:rsidRPr="00374EAA" w:rsidRDefault="00374EAA" w:rsidP="00374EAA">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APPENDICES</w:t>
      </w:r>
    </w:p>
    <w:p w:rsidR="00374EAA" w:rsidRPr="00374EAA" w:rsidRDefault="00374EAA" w:rsidP="00374EAA">
      <w:pPr>
        <w:widowControl w:val="0"/>
        <w:numPr>
          <w:ilvl w:val="0"/>
          <w:numId w:val="2"/>
        </w:numPr>
        <w:autoSpaceDE w:val="0"/>
        <w:autoSpaceDN w:val="0"/>
        <w:spacing w:after="120"/>
        <w:jc w:val="both"/>
        <w:rPr>
          <w:rFonts w:ascii="Arial" w:eastAsia="Times New Roman" w:hAnsi="Arial"/>
          <w:bCs/>
          <w:sz w:val="24"/>
        </w:rPr>
      </w:pPr>
      <w:r w:rsidRPr="00374EAA">
        <w:rPr>
          <w:rFonts w:ascii="Arial" w:eastAsia="Times New Roman" w:hAnsi="Arial"/>
          <w:b/>
          <w:bCs/>
          <w:sz w:val="24"/>
        </w:rPr>
        <w:t xml:space="preserve">Appendix 1 – </w:t>
      </w:r>
      <w:r w:rsidR="008766E8">
        <w:rPr>
          <w:rFonts w:ascii="Arial" w:eastAsia="Times New Roman" w:hAnsi="Arial"/>
          <w:bCs/>
          <w:sz w:val="24"/>
        </w:rPr>
        <w:t>Block plan</w:t>
      </w:r>
    </w:p>
    <w:p w:rsidR="00374EAA" w:rsidRPr="00374EAA" w:rsidRDefault="00374EAA" w:rsidP="00374EAA">
      <w:pPr>
        <w:autoSpaceDE w:val="0"/>
        <w:autoSpaceDN w:val="0"/>
        <w:rPr>
          <w:rFonts w:ascii="Arial" w:eastAsia="Times New Roman" w:hAnsi="Arial"/>
          <w:sz w:val="24"/>
        </w:rPr>
      </w:pPr>
    </w:p>
    <w:p w:rsidR="00374EAA" w:rsidRPr="00374EAA" w:rsidRDefault="00374EAA" w:rsidP="00271EA8">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HUMAN RIGHTS ACT 1998</w:t>
      </w:r>
    </w:p>
    <w:p w:rsidR="00374EAA" w:rsidRPr="00374EAA" w:rsidRDefault="00374EAA" w:rsidP="00271EA8">
      <w:pPr>
        <w:numPr>
          <w:ilvl w:val="1"/>
          <w:numId w:val="1"/>
        </w:numPr>
        <w:autoSpaceDE w:val="0"/>
        <w:autoSpaceDN w:val="0"/>
        <w:spacing w:after="240"/>
        <w:ind w:left="709" w:hanging="709"/>
        <w:jc w:val="both"/>
        <w:rPr>
          <w:rFonts w:ascii="Arial" w:eastAsia="Times New Roman" w:hAnsi="Arial"/>
          <w:sz w:val="24"/>
        </w:rPr>
      </w:pPr>
      <w:r w:rsidRPr="00374EAA">
        <w:rPr>
          <w:rFonts w:ascii="Arial" w:eastAsia="Times New Roman" w:hAnsi="Arial"/>
          <w:sz w:val="24"/>
        </w:rPr>
        <w:t>Officers have considered the implications of the Human Rights Act 1998 in reaching a recommendation to 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374EAA" w:rsidRPr="00374EAA" w:rsidRDefault="00374EAA" w:rsidP="00271EA8">
      <w:pPr>
        <w:numPr>
          <w:ilvl w:val="0"/>
          <w:numId w:val="1"/>
        </w:numPr>
        <w:autoSpaceDE w:val="0"/>
        <w:autoSpaceDN w:val="0"/>
        <w:spacing w:after="240"/>
        <w:ind w:left="709" w:hanging="709"/>
        <w:rPr>
          <w:rFonts w:ascii="Arial" w:eastAsia="Times New Roman" w:hAnsi="Arial"/>
          <w:b/>
          <w:sz w:val="24"/>
        </w:rPr>
      </w:pPr>
      <w:r w:rsidRPr="00374EAA">
        <w:rPr>
          <w:rFonts w:ascii="Arial" w:eastAsia="Times New Roman" w:hAnsi="Arial"/>
          <w:b/>
          <w:sz w:val="24"/>
        </w:rPr>
        <w:t>SECTION 17 OF THE CRIME AND DISORDER ACT 1998</w:t>
      </w:r>
    </w:p>
    <w:p w:rsidR="00374EAA" w:rsidRPr="00374EAA" w:rsidRDefault="00374EAA" w:rsidP="00271EA8">
      <w:pPr>
        <w:numPr>
          <w:ilvl w:val="1"/>
          <w:numId w:val="1"/>
        </w:numPr>
        <w:autoSpaceDE w:val="0"/>
        <w:autoSpaceDN w:val="0"/>
        <w:spacing w:after="240"/>
        <w:ind w:left="709" w:hanging="709"/>
        <w:jc w:val="both"/>
        <w:rPr>
          <w:rFonts w:ascii="Arial" w:eastAsia="Times New Roman" w:hAnsi="Arial"/>
          <w:sz w:val="24"/>
        </w:rPr>
      </w:pPr>
      <w:r w:rsidRPr="00374EAA">
        <w:rPr>
          <w:rFonts w:ascii="Arial" w:eastAsia="Times New Roman" w:hAnsi="Arial"/>
          <w:sz w:val="24"/>
        </w:rPr>
        <w:t>Officers have considered, with due regard, the likely effect of the proposal on the need to reduce crime and disorder as part of the determination of this application, in accordance with section 17 of the Crime and Disorder Act 1998. In reac</w:t>
      </w:r>
      <w:r w:rsidR="008766E8">
        <w:rPr>
          <w:rFonts w:ascii="Arial" w:eastAsia="Times New Roman" w:hAnsi="Arial"/>
          <w:sz w:val="24"/>
        </w:rPr>
        <w:t>hing a recommendation to grant</w:t>
      </w:r>
      <w:r w:rsidRPr="00374EAA">
        <w:rPr>
          <w:rFonts w:ascii="Arial" w:eastAsia="Times New Roman" w:hAnsi="Arial"/>
          <w:sz w:val="24"/>
        </w:rPr>
        <w:t xml:space="preserve"> planning permission, officers consider that the proposal will not undermine crime prevention or the promotion of community.</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3C74C2"/>
    <w:multiLevelType w:val="hybridMultilevel"/>
    <w:tmpl w:val="28B4FC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375168DE"/>
    <w:multiLevelType w:val="hybridMultilevel"/>
    <w:tmpl w:val="C826D2BE"/>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5C54ECA"/>
    <w:multiLevelType w:val="hybridMultilevel"/>
    <w:tmpl w:val="B80E64DE"/>
    <w:lvl w:ilvl="0" w:tplc="2F3A33D4">
      <w:start w:val="1"/>
      <w:numFmt w:val="lowerRoman"/>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FF7553E"/>
    <w:multiLevelType w:val="hybridMultilevel"/>
    <w:tmpl w:val="D0A87612"/>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A051B77"/>
    <w:multiLevelType w:val="hybridMultilevel"/>
    <w:tmpl w:val="956AAE80"/>
    <w:lvl w:ilvl="0" w:tplc="C1B825A0">
      <w:start w:val="3"/>
      <w:numFmt w:val="lowerRoman"/>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743A98"/>
    <w:multiLevelType w:val="hybridMultilevel"/>
    <w:tmpl w:val="8B4EC870"/>
    <w:lvl w:ilvl="0" w:tplc="9C76F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C90024D"/>
    <w:multiLevelType w:val="hybridMultilevel"/>
    <w:tmpl w:val="07C2DD8C"/>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8"/>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AA"/>
    <w:rsid w:val="00027014"/>
    <w:rsid w:val="000A042D"/>
    <w:rsid w:val="000B4310"/>
    <w:rsid w:val="001A39BE"/>
    <w:rsid w:val="002023C1"/>
    <w:rsid w:val="00271EA8"/>
    <w:rsid w:val="00374EAA"/>
    <w:rsid w:val="003A0EC8"/>
    <w:rsid w:val="004000D7"/>
    <w:rsid w:val="004A0458"/>
    <w:rsid w:val="004D7C07"/>
    <w:rsid w:val="00504E43"/>
    <w:rsid w:val="00516683"/>
    <w:rsid w:val="005D49F9"/>
    <w:rsid w:val="005F1383"/>
    <w:rsid w:val="00620127"/>
    <w:rsid w:val="006A7592"/>
    <w:rsid w:val="006D5CDD"/>
    <w:rsid w:val="007908F4"/>
    <w:rsid w:val="008766E8"/>
    <w:rsid w:val="00880A13"/>
    <w:rsid w:val="008A22C6"/>
    <w:rsid w:val="00913DCC"/>
    <w:rsid w:val="00915364"/>
    <w:rsid w:val="0096504A"/>
    <w:rsid w:val="00A1413A"/>
    <w:rsid w:val="00A141B4"/>
    <w:rsid w:val="00A160B5"/>
    <w:rsid w:val="00A9445B"/>
    <w:rsid w:val="00B84310"/>
    <w:rsid w:val="00BE3C86"/>
    <w:rsid w:val="00C07F80"/>
    <w:rsid w:val="00C26A82"/>
    <w:rsid w:val="00C4270F"/>
    <w:rsid w:val="00CE63E2"/>
    <w:rsid w:val="00CF389F"/>
    <w:rsid w:val="00D41865"/>
    <w:rsid w:val="00E06F5E"/>
    <w:rsid w:val="00EA457E"/>
    <w:rsid w:val="00FD3A85"/>
    <w:rsid w:val="00FE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B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EAA"/>
    <w:pPr>
      <w:tabs>
        <w:tab w:val="center" w:pos="4153"/>
        <w:tab w:val="right" w:pos="8306"/>
      </w:tabs>
      <w:autoSpaceDE w:val="0"/>
      <w:autoSpaceDN w:val="0"/>
    </w:pPr>
    <w:rPr>
      <w:rFonts w:ascii="Arial" w:eastAsia="Times New Roman" w:hAnsi="Arial"/>
      <w:sz w:val="24"/>
    </w:rPr>
  </w:style>
  <w:style w:type="character" w:customStyle="1" w:styleId="HeaderChar">
    <w:name w:val="Header Char"/>
    <w:basedOn w:val="DefaultParagraphFont"/>
    <w:link w:val="Header"/>
    <w:uiPriority w:val="99"/>
    <w:rsid w:val="00374EAA"/>
    <w:rPr>
      <w:rFonts w:eastAsia="Times New Roman"/>
    </w:rPr>
  </w:style>
  <w:style w:type="paragraph" w:customStyle="1" w:styleId="CAPS">
    <w:name w:val="CAPS"/>
    <w:uiPriority w:val="99"/>
    <w:rsid w:val="00374EAA"/>
    <w:rPr>
      <w:rFonts w:ascii="Times New Roman" w:eastAsia="MS Mincho" w:hAnsi="Times New Roman" w:cs="Times New Roman"/>
      <w:sz w:val="20"/>
      <w:szCs w:val="20"/>
    </w:rPr>
  </w:style>
  <w:style w:type="table" w:styleId="TableGrid">
    <w:name w:val="Table Grid"/>
    <w:basedOn w:val="TableNormal"/>
    <w:uiPriority w:val="59"/>
    <w:rsid w:val="00374EA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Normal"/>
    <w:link w:val="HEADINGAChar"/>
    <w:qFormat/>
    <w:rsid w:val="00374EAA"/>
    <w:pPr>
      <w:numPr>
        <w:numId w:val="1"/>
      </w:numPr>
      <w:autoSpaceDE w:val="0"/>
      <w:autoSpaceDN w:val="0"/>
      <w:spacing w:after="240"/>
      <w:ind w:left="709" w:hanging="709"/>
    </w:pPr>
    <w:rPr>
      <w:rFonts w:ascii="Arial" w:eastAsia="Times New Roman" w:hAnsi="Arial"/>
      <w:b/>
      <w:sz w:val="24"/>
    </w:rPr>
  </w:style>
  <w:style w:type="paragraph" w:customStyle="1" w:styleId="PARAGRAPHA">
    <w:name w:val="PARAGRAPH A"/>
    <w:basedOn w:val="Normal"/>
    <w:link w:val="PARAGRAPHAChar"/>
    <w:qFormat/>
    <w:rsid w:val="00374EAA"/>
    <w:pPr>
      <w:numPr>
        <w:ilvl w:val="1"/>
        <w:numId w:val="1"/>
      </w:numPr>
      <w:autoSpaceDE w:val="0"/>
      <w:autoSpaceDN w:val="0"/>
      <w:spacing w:after="240"/>
      <w:jc w:val="both"/>
    </w:pPr>
    <w:rPr>
      <w:rFonts w:ascii="Arial" w:eastAsia="Times New Roman" w:hAnsi="Arial"/>
      <w:sz w:val="24"/>
    </w:rPr>
  </w:style>
  <w:style w:type="character" w:customStyle="1" w:styleId="HEADINGAChar">
    <w:name w:val="HEADING A Char"/>
    <w:basedOn w:val="DefaultParagraphFont"/>
    <w:link w:val="HEADINGA"/>
    <w:locked/>
    <w:rsid w:val="00374EAA"/>
    <w:rPr>
      <w:rFonts w:eastAsia="Times New Roman"/>
      <w:b/>
    </w:rPr>
  </w:style>
  <w:style w:type="paragraph" w:customStyle="1" w:styleId="BULLETS">
    <w:name w:val="BULLETS"/>
    <w:basedOn w:val="Normal"/>
    <w:link w:val="BULLETSChar"/>
    <w:qFormat/>
    <w:rsid w:val="00374EAA"/>
    <w:pPr>
      <w:widowControl w:val="0"/>
      <w:numPr>
        <w:numId w:val="2"/>
      </w:numPr>
      <w:autoSpaceDE w:val="0"/>
      <w:autoSpaceDN w:val="0"/>
      <w:spacing w:after="120"/>
      <w:jc w:val="both"/>
    </w:pPr>
    <w:rPr>
      <w:rFonts w:ascii="Arial" w:eastAsia="Times New Roman" w:hAnsi="Arial"/>
      <w:bCs/>
      <w:sz w:val="24"/>
    </w:rPr>
  </w:style>
  <w:style w:type="character" w:customStyle="1" w:styleId="PARAGRAPHAChar">
    <w:name w:val="PARAGRAPH A Char"/>
    <w:basedOn w:val="DefaultParagraphFont"/>
    <w:link w:val="PARAGRAPHA"/>
    <w:locked/>
    <w:rsid w:val="00374EAA"/>
    <w:rPr>
      <w:rFonts w:eastAsia="Times New Roman"/>
    </w:rPr>
  </w:style>
  <w:style w:type="paragraph" w:customStyle="1" w:styleId="PARAGRAPHB">
    <w:name w:val="PARAGRAPH B"/>
    <w:basedOn w:val="Normal"/>
    <w:link w:val="PARAGRAPHBChar"/>
    <w:qFormat/>
    <w:rsid w:val="00374EAA"/>
    <w:pPr>
      <w:widowControl w:val="0"/>
      <w:numPr>
        <w:ilvl w:val="2"/>
        <w:numId w:val="1"/>
      </w:numPr>
      <w:autoSpaceDE w:val="0"/>
      <w:autoSpaceDN w:val="0"/>
      <w:spacing w:after="240"/>
      <w:ind w:left="709" w:hanging="709"/>
      <w:jc w:val="both"/>
    </w:pPr>
    <w:rPr>
      <w:rFonts w:ascii="Arial" w:eastAsia="Times New Roman" w:hAnsi="Arial"/>
      <w:bCs/>
      <w:sz w:val="24"/>
    </w:rPr>
  </w:style>
  <w:style w:type="character" w:customStyle="1" w:styleId="BULLETSChar">
    <w:name w:val="BULLETS Char"/>
    <w:basedOn w:val="DefaultParagraphFont"/>
    <w:link w:val="BULLETS"/>
    <w:locked/>
    <w:rsid w:val="00374EAA"/>
    <w:rPr>
      <w:rFonts w:eastAsia="Times New Roman"/>
      <w:bCs/>
    </w:rPr>
  </w:style>
  <w:style w:type="paragraph" w:customStyle="1" w:styleId="HEADINGB">
    <w:name w:val="HEADING B"/>
    <w:basedOn w:val="Normal"/>
    <w:link w:val="HEADINGBChar"/>
    <w:qFormat/>
    <w:rsid w:val="00374EAA"/>
    <w:pPr>
      <w:autoSpaceDE w:val="0"/>
      <w:autoSpaceDN w:val="0"/>
      <w:spacing w:after="240"/>
      <w:ind w:firstLine="709"/>
    </w:pPr>
    <w:rPr>
      <w:rFonts w:ascii="Arial" w:eastAsia="Times New Roman" w:hAnsi="Arial"/>
      <w:b/>
      <w:sz w:val="24"/>
    </w:rPr>
  </w:style>
  <w:style w:type="character" w:customStyle="1" w:styleId="PARAGRAPHBChar">
    <w:name w:val="PARAGRAPH B Char"/>
    <w:basedOn w:val="DefaultParagraphFont"/>
    <w:link w:val="PARAGRAPHB"/>
    <w:locked/>
    <w:rsid w:val="00374EAA"/>
    <w:rPr>
      <w:rFonts w:eastAsia="Times New Roman"/>
      <w:bCs/>
    </w:rPr>
  </w:style>
  <w:style w:type="paragraph" w:customStyle="1" w:styleId="HEADINGC">
    <w:name w:val="HEADING C"/>
    <w:basedOn w:val="Normal"/>
    <w:link w:val="HEADINGCChar"/>
    <w:qFormat/>
    <w:rsid w:val="00374EAA"/>
    <w:pPr>
      <w:autoSpaceDE w:val="0"/>
      <w:autoSpaceDN w:val="0"/>
      <w:adjustRightInd w:val="0"/>
      <w:spacing w:after="240"/>
      <w:ind w:left="425" w:firstLine="284"/>
      <w:jc w:val="both"/>
    </w:pPr>
    <w:rPr>
      <w:rFonts w:ascii="Arial" w:eastAsia="Times New Roman" w:hAnsi="Arial"/>
      <w:color w:val="000000"/>
      <w:sz w:val="24"/>
      <w:u w:val="single"/>
      <w:lang w:eastAsia="en-GB"/>
    </w:rPr>
  </w:style>
  <w:style w:type="character" w:customStyle="1" w:styleId="HEADINGBChar">
    <w:name w:val="HEADING B Char"/>
    <w:basedOn w:val="DefaultParagraphFont"/>
    <w:link w:val="HEADINGB"/>
    <w:locked/>
    <w:rsid w:val="00374EAA"/>
    <w:rPr>
      <w:rFonts w:eastAsia="Times New Roman"/>
      <w:b/>
    </w:rPr>
  </w:style>
  <w:style w:type="paragraph" w:customStyle="1" w:styleId="CONSIDERATIONSLIST">
    <w:name w:val="CONSIDERATIONS LIST"/>
    <w:basedOn w:val="Normal"/>
    <w:rsid w:val="00374EAA"/>
    <w:pPr>
      <w:numPr>
        <w:numId w:val="3"/>
      </w:numPr>
      <w:autoSpaceDE w:val="0"/>
      <w:autoSpaceDN w:val="0"/>
    </w:pPr>
    <w:rPr>
      <w:rFonts w:ascii="Arial" w:eastAsia="Times New Roman" w:hAnsi="Arial"/>
      <w:sz w:val="24"/>
    </w:rPr>
  </w:style>
  <w:style w:type="character" w:customStyle="1" w:styleId="HEADINGCChar">
    <w:name w:val="HEADING C Char"/>
    <w:basedOn w:val="DefaultParagraphFont"/>
    <w:link w:val="HEADINGC"/>
    <w:locked/>
    <w:rsid w:val="00374EAA"/>
    <w:rPr>
      <w:rFonts w:eastAsia="Times New Roman"/>
      <w:color w:val="000000"/>
      <w:u w:val="single"/>
      <w:lang w:eastAsia="en-GB"/>
    </w:rPr>
  </w:style>
  <w:style w:type="paragraph" w:customStyle="1" w:styleId="CONSIDERATIONSHEADINGS">
    <w:name w:val="CONSIDERATIONS HEADINGS"/>
    <w:basedOn w:val="CONSIDERATIONSLIST"/>
    <w:link w:val="CONSIDERATIONSHEADINGSChar"/>
    <w:qFormat/>
    <w:rsid w:val="00374EAA"/>
    <w:pPr>
      <w:tabs>
        <w:tab w:val="left" w:pos="1134"/>
      </w:tabs>
      <w:spacing w:after="240"/>
      <w:ind w:left="1134" w:hanging="425"/>
    </w:pPr>
    <w:rPr>
      <w:b/>
    </w:rPr>
  </w:style>
  <w:style w:type="character" w:customStyle="1" w:styleId="CONSIDERATIONSHEADINGSChar">
    <w:name w:val="CONSIDERATIONS HEADINGS Char"/>
    <w:basedOn w:val="DefaultParagraphFont"/>
    <w:link w:val="CONSIDERATIONSHEADINGS"/>
    <w:locked/>
    <w:rsid w:val="00374EAA"/>
    <w:rPr>
      <w:rFonts w:eastAsia="Times New Roman"/>
      <w:b/>
    </w:rPr>
  </w:style>
  <w:style w:type="paragraph" w:styleId="BalloonText">
    <w:name w:val="Balloon Text"/>
    <w:basedOn w:val="Normal"/>
    <w:link w:val="BalloonTextChar"/>
    <w:uiPriority w:val="99"/>
    <w:semiHidden/>
    <w:unhideWhenUsed/>
    <w:rsid w:val="00374EAA"/>
    <w:rPr>
      <w:rFonts w:ascii="Tahoma" w:hAnsi="Tahoma" w:cs="Tahoma"/>
      <w:sz w:val="16"/>
      <w:szCs w:val="16"/>
    </w:rPr>
  </w:style>
  <w:style w:type="character" w:customStyle="1" w:styleId="BalloonTextChar">
    <w:name w:val="Balloon Text Char"/>
    <w:basedOn w:val="DefaultParagraphFont"/>
    <w:link w:val="BalloonText"/>
    <w:uiPriority w:val="99"/>
    <w:semiHidden/>
    <w:rsid w:val="00374EAA"/>
    <w:rPr>
      <w:rFonts w:ascii="Tahoma" w:hAnsi="Tahoma" w:cs="Tahoma"/>
      <w:sz w:val="16"/>
      <w:szCs w:val="16"/>
    </w:rPr>
  </w:style>
  <w:style w:type="character" w:styleId="Hyperlink">
    <w:name w:val="Hyperlink"/>
    <w:basedOn w:val="DefaultParagraphFont"/>
    <w:uiPriority w:val="99"/>
    <w:unhideWhenUsed/>
    <w:rsid w:val="008766E8"/>
    <w:rPr>
      <w:color w:val="0000FF" w:themeColor="hyperlink"/>
      <w:u w:val="single"/>
    </w:rPr>
  </w:style>
  <w:style w:type="character" w:styleId="CommentReference">
    <w:name w:val="annotation reference"/>
    <w:basedOn w:val="DefaultParagraphFont"/>
    <w:uiPriority w:val="99"/>
    <w:semiHidden/>
    <w:unhideWhenUsed/>
    <w:rsid w:val="00A141B4"/>
    <w:rPr>
      <w:sz w:val="16"/>
      <w:szCs w:val="16"/>
    </w:rPr>
  </w:style>
  <w:style w:type="paragraph" w:styleId="CommentText">
    <w:name w:val="annotation text"/>
    <w:basedOn w:val="Normal"/>
    <w:link w:val="CommentTextChar"/>
    <w:uiPriority w:val="99"/>
    <w:semiHidden/>
    <w:unhideWhenUsed/>
    <w:rsid w:val="00A141B4"/>
    <w:rPr>
      <w:sz w:val="20"/>
      <w:szCs w:val="20"/>
    </w:rPr>
  </w:style>
  <w:style w:type="character" w:customStyle="1" w:styleId="CommentTextChar">
    <w:name w:val="Comment Text Char"/>
    <w:basedOn w:val="DefaultParagraphFont"/>
    <w:link w:val="CommentText"/>
    <w:uiPriority w:val="99"/>
    <w:semiHidden/>
    <w:rsid w:val="00A141B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141B4"/>
    <w:rPr>
      <w:b/>
      <w:bCs/>
    </w:rPr>
  </w:style>
  <w:style w:type="character" w:customStyle="1" w:styleId="CommentSubjectChar">
    <w:name w:val="Comment Subject Char"/>
    <w:basedOn w:val="CommentTextChar"/>
    <w:link w:val="CommentSubject"/>
    <w:uiPriority w:val="99"/>
    <w:semiHidden/>
    <w:rsid w:val="00A141B4"/>
    <w:rPr>
      <w:rFonts w:asciiTheme="minorHAnsi" w:hAnsiTheme="minorHAnsi"/>
      <w:b/>
      <w:bCs/>
      <w:sz w:val="20"/>
      <w:szCs w:val="20"/>
    </w:rPr>
  </w:style>
  <w:style w:type="paragraph" w:styleId="ListParagraph">
    <w:name w:val="List Paragraph"/>
    <w:basedOn w:val="Normal"/>
    <w:uiPriority w:val="34"/>
    <w:qFormat/>
    <w:rsid w:val="004A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B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EAA"/>
    <w:pPr>
      <w:tabs>
        <w:tab w:val="center" w:pos="4153"/>
        <w:tab w:val="right" w:pos="8306"/>
      </w:tabs>
      <w:autoSpaceDE w:val="0"/>
      <w:autoSpaceDN w:val="0"/>
    </w:pPr>
    <w:rPr>
      <w:rFonts w:ascii="Arial" w:eastAsia="Times New Roman" w:hAnsi="Arial"/>
      <w:sz w:val="24"/>
    </w:rPr>
  </w:style>
  <w:style w:type="character" w:customStyle="1" w:styleId="HeaderChar">
    <w:name w:val="Header Char"/>
    <w:basedOn w:val="DefaultParagraphFont"/>
    <w:link w:val="Header"/>
    <w:uiPriority w:val="99"/>
    <w:rsid w:val="00374EAA"/>
    <w:rPr>
      <w:rFonts w:eastAsia="Times New Roman"/>
    </w:rPr>
  </w:style>
  <w:style w:type="paragraph" w:customStyle="1" w:styleId="CAPS">
    <w:name w:val="CAPS"/>
    <w:uiPriority w:val="99"/>
    <w:rsid w:val="00374EAA"/>
    <w:rPr>
      <w:rFonts w:ascii="Times New Roman" w:eastAsia="MS Mincho" w:hAnsi="Times New Roman" w:cs="Times New Roman"/>
      <w:sz w:val="20"/>
      <w:szCs w:val="20"/>
    </w:rPr>
  </w:style>
  <w:style w:type="table" w:styleId="TableGrid">
    <w:name w:val="Table Grid"/>
    <w:basedOn w:val="TableNormal"/>
    <w:uiPriority w:val="59"/>
    <w:rsid w:val="00374EA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Normal"/>
    <w:link w:val="HEADINGAChar"/>
    <w:qFormat/>
    <w:rsid w:val="00374EAA"/>
    <w:pPr>
      <w:numPr>
        <w:numId w:val="1"/>
      </w:numPr>
      <w:autoSpaceDE w:val="0"/>
      <w:autoSpaceDN w:val="0"/>
      <w:spacing w:after="240"/>
      <w:ind w:left="709" w:hanging="709"/>
    </w:pPr>
    <w:rPr>
      <w:rFonts w:ascii="Arial" w:eastAsia="Times New Roman" w:hAnsi="Arial"/>
      <w:b/>
      <w:sz w:val="24"/>
    </w:rPr>
  </w:style>
  <w:style w:type="paragraph" w:customStyle="1" w:styleId="PARAGRAPHA">
    <w:name w:val="PARAGRAPH A"/>
    <w:basedOn w:val="Normal"/>
    <w:link w:val="PARAGRAPHAChar"/>
    <w:qFormat/>
    <w:rsid w:val="00374EAA"/>
    <w:pPr>
      <w:numPr>
        <w:ilvl w:val="1"/>
        <w:numId w:val="1"/>
      </w:numPr>
      <w:autoSpaceDE w:val="0"/>
      <w:autoSpaceDN w:val="0"/>
      <w:spacing w:after="240"/>
      <w:jc w:val="both"/>
    </w:pPr>
    <w:rPr>
      <w:rFonts w:ascii="Arial" w:eastAsia="Times New Roman" w:hAnsi="Arial"/>
      <w:sz w:val="24"/>
    </w:rPr>
  </w:style>
  <w:style w:type="character" w:customStyle="1" w:styleId="HEADINGAChar">
    <w:name w:val="HEADING A Char"/>
    <w:basedOn w:val="DefaultParagraphFont"/>
    <w:link w:val="HEADINGA"/>
    <w:locked/>
    <w:rsid w:val="00374EAA"/>
    <w:rPr>
      <w:rFonts w:eastAsia="Times New Roman"/>
      <w:b/>
    </w:rPr>
  </w:style>
  <w:style w:type="paragraph" w:customStyle="1" w:styleId="BULLETS">
    <w:name w:val="BULLETS"/>
    <w:basedOn w:val="Normal"/>
    <w:link w:val="BULLETSChar"/>
    <w:qFormat/>
    <w:rsid w:val="00374EAA"/>
    <w:pPr>
      <w:widowControl w:val="0"/>
      <w:numPr>
        <w:numId w:val="2"/>
      </w:numPr>
      <w:autoSpaceDE w:val="0"/>
      <w:autoSpaceDN w:val="0"/>
      <w:spacing w:after="120"/>
      <w:jc w:val="both"/>
    </w:pPr>
    <w:rPr>
      <w:rFonts w:ascii="Arial" w:eastAsia="Times New Roman" w:hAnsi="Arial"/>
      <w:bCs/>
      <w:sz w:val="24"/>
    </w:rPr>
  </w:style>
  <w:style w:type="character" w:customStyle="1" w:styleId="PARAGRAPHAChar">
    <w:name w:val="PARAGRAPH A Char"/>
    <w:basedOn w:val="DefaultParagraphFont"/>
    <w:link w:val="PARAGRAPHA"/>
    <w:locked/>
    <w:rsid w:val="00374EAA"/>
    <w:rPr>
      <w:rFonts w:eastAsia="Times New Roman"/>
    </w:rPr>
  </w:style>
  <w:style w:type="paragraph" w:customStyle="1" w:styleId="PARAGRAPHB">
    <w:name w:val="PARAGRAPH B"/>
    <w:basedOn w:val="Normal"/>
    <w:link w:val="PARAGRAPHBChar"/>
    <w:qFormat/>
    <w:rsid w:val="00374EAA"/>
    <w:pPr>
      <w:widowControl w:val="0"/>
      <w:numPr>
        <w:ilvl w:val="2"/>
        <w:numId w:val="1"/>
      </w:numPr>
      <w:autoSpaceDE w:val="0"/>
      <w:autoSpaceDN w:val="0"/>
      <w:spacing w:after="240"/>
      <w:ind w:left="709" w:hanging="709"/>
      <w:jc w:val="both"/>
    </w:pPr>
    <w:rPr>
      <w:rFonts w:ascii="Arial" w:eastAsia="Times New Roman" w:hAnsi="Arial"/>
      <w:bCs/>
      <w:sz w:val="24"/>
    </w:rPr>
  </w:style>
  <w:style w:type="character" w:customStyle="1" w:styleId="BULLETSChar">
    <w:name w:val="BULLETS Char"/>
    <w:basedOn w:val="DefaultParagraphFont"/>
    <w:link w:val="BULLETS"/>
    <w:locked/>
    <w:rsid w:val="00374EAA"/>
    <w:rPr>
      <w:rFonts w:eastAsia="Times New Roman"/>
      <w:bCs/>
    </w:rPr>
  </w:style>
  <w:style w:type="paragraph" w:customStyle="1" w:styleId="HEADINGB">
    <w:name w:val="HEADING B"/>
    <w:basedOn w:val="Normal"/>
    <w:link w:val="HEADINGBChar"/>
    <w:qFormat/>
    <w:rsid w:val="00374EAA"/>
    <w:pPr>
      <w:autoSpaceDE w:val="0"/>
      <w:autoSpaceDN w:val="0"/>
      <w:spacing w:after="240"/>
      <w:ind w:firstLine="709"/>
    </w:pPr>
    <w:rPr>
      <w:rFonts w:ascii="Arial" w:eastAsia="Times New Roman" w:hAnsi="Arial"/>
      <w:b/>
      <w:sz w:val="24"/>
    </w:rPr>
  </w:style>
  <w:style w:type="character" w:customStyle="1" w:styleId="PARAGRAPHBChar">
    <w:name w:val="PARAGRAPH B Char"/>
    <w:basedOn w:val="DefaultParagraphFont"/>
    <w:link w:val="PARAGRAPHB"/>
    <w:locked/>
    <w:rsid w:val="00374EAA"/>
    <w:rPr>
      <w:rFonts w:eastAsia="Times New Roman"/>
      <w:bCs/>
    </w:rPr>
  </w:style>
  <w:style w:type="paragraph" w:customStyle="1" w:styleId="HEADINGC">
    <w:name w:val="HEADING C"/>
    <w:basedOn w:val="Normal"/>
    <w:link w:val="HEADINGCChar"/>
    <w:qFormat/>
    <w:rsid w:val="00374EAA"/>
    <w:pPr>
      <w:autoSpaceDE w:val="0"/>
      <w:autoSpaceDN w:val="0"/>
      <w:adjustRightInd w:val="0"/>
      <w:spacing w:after="240"/>
      <w:ind w:left="425" w:firstLine="284"/>
      <w:jc w:val="both"/>
    </w:pPr>
    <w:rPr>
      <w:rFonts w:ascii="Arial" w:eastAsia="Times New Roman" w:hAnsi="Arial"/>
      <w:color w:val="000000"/>
      <w:sz w:val="24"/>
      <w:u w:val="single"/>
      <w:lang w:eastAsia="en-GB"/>
    </w:rPr>
  </w:style>
  <w:style w:type="character" w:customStyle="1" w:styleId="HEADINGBChar">
    <w:name w:val="HEADING B Char"/>
    <w:basedOn w:val="DefaultParagraphFont"/>
    <w:link w:val="HEADINGB"/>
    <w:locked/>
    <w:rsid w:val="00374EAA"/>
    <w:rPr>
      <w:rFonts w:eastAsia="Times New Roman"/>
      <w:b/>
    </w:rPr>
  </w:style>
  <w:style w:type="paragraph" w:customStyle="1" w:styleId="CONSIDERATIONSLIST">
    <w:name w:val="CONSIDERATIONS LIST"/>
    <w:basedOn w:val="Normal"/>
    <w:rsid w:val="00374EAA"/>
    <w:pPr>
      <w:numPr>
        <w:numId w:val="3"/>
      </w:numPr>
      <w:autoSpaceDE w:val="0"/>
      <w:autoSpaceDN w:val="0"/>
    </w:pPr>
    <w:rPr>
      <w:rFonts w:ascii="Arial" w:eastAsia="Times New Roman" w:hAnsi="Arial"/>
      <w:sz w:val="24"/>
    </w:rPr>
  </w:style>
  <w:style w:type="character" w:customStyle="1" w:styleId="HEADINGCChar">
    <w:name w:val="HEADING C Char"/>
    <w:basedOn w:val="DefaultParagraphFont"/>
    <w:link w:val="HEADINGC"/>
    <w:locked/>
    <w:rsid w:val="00374EAA"/>
    <w:rPr>
      <w:rFonts w:eastAsia="Times New Roman"/>
      <w:color w:val="000000"/>
      <w:u w:val="single"/>
      <w:lang w:eastAsia="en-GB"/>
    </w:rPr>
  </w:style>
  <w:style w:type="paragraph" w:customStyle="1" w:styleId="CONSIDERATIONSHEADINGS">
    <w:name w:val="CONSIDERATIONS HEADINGS"/>
    <w:basedOn w:val="CONSIDERATIONSLIST"/>
    <w:link w:val="CONSIDERATIONSHEADINGSChar"/>
    <w:qFormat/>
    <w:rsid w:val="00374EAA"/>
    <w:pPr>
      <w:tabs>
        <w:tab w:val="left" w:pos="1134"/>
      </w:tabs>
      <w:spacing w:after="240"/>
      <w:ind w:left="1134" w:hanging="425"/>
    </w:pPr>
    <w:rPr>
      <w:b/>
    </w:rPr>
  </w:style>
  <w:style w:type="character" w:customStyle="1" w:styleId="CONSIDERATIONSHEADINGSChar">
    <w:name w:val="CONSIDERATIONS HEADINGS Char"/>
    <w:basedOn w:val="DefaultParagraphFont"/>
    <w:link w:val="CONSIDERATIONSHEADINGS"/>
    <w:locked/>
    <w:rsid w:val="00374EAA"/>
    <w:rPr>
      <w:rFonts w:eastAsia="Times New Roman"/>
      <w:b/>
    </w:rPr>
  </w:style>
  <w:style w:type="paragraph" w:styleId="BalloonText">
    <w:name w:val="Balloon Text"/>
    <w:basedOn w:val="Normal"/>
    <w:link w:val="BalloonTextChar"/>
    <w:uiPriority w:val="99"/>
    <w:semiHidden/>
    <w:unhideWhenUsed/>
    <w:rsid w:val="00374EAA"/>
    <w:rPr>
      <w:rFonts w:ascii="Tahoma" w:hAnsi="Tahoma" w:cs="Tahoma"/>
      <w:sz w:val="16"/>
      <w:szCs w:val="16"/>
    </w:rPr>
  </w:style>
  <w:style w:type="character" w:customStyle="1" w:styleId="BalloonTextChar">
    <w:name w:val="Balloon Text Char"/>
    <w:basedOn w:val="DefaultParagraphFont"/>
    <w:link w:val="BalloonText"/>
    <w:uiPriority w:val="99"/>
    <w:semiHidden/>
    <w:rsid w:val="00374EAA"/>
    <w:rPr>
      <w:rFonts w:ascii="Tahoma" w:hAnsi="Tahoma" w:cs="Tahoma"/>
      <w:sz w:val="16"/>
      <w:szCs w:val="16"/>
    </w:rPr>
  </w:style>
  <w:style w:type="character" w:styleId="Hyperlink">
    <w:name w:val="Hyperlink"/>
    <w:basedOn w:val="DefaultParagraphFont"/>
    <w:uiPriority w:val="99"/>
    <w:unhideWhenUsed/>
    <w:rsid w:val="008766E8"/>
    <w:rPr>
      <w:color w:val="0000FF" w:themeColor="hyperlink"/>
      <w:u w:val="single"/>
    </w:rPr>
  </w:style>
  <w:style w:type="character" w:styleId="CommentReference">
    <w:name w:val="annotation reference"/>
    <w:basedOn w:val="DefaultParagraphFont"/>
    <w:uiPriority w:val="99"/>
    <w:semiHidden/>
    <w:unhideWhenUsed/>
    <w:rsid w:val="00A141B4"/>
    <w:rPr>
      <w:sz w:val="16"/>
      <w:szCs w:val="16"/>
    </w:rPr>
  </w:style>
  <w:style w:type="paragraph" w:styleId="CommentText">
    <w:name w:val="annotation text"/>
    <w:basedOn w:val="Normal"/>
    <w:link w:val="CommentTextChar"/>
    <w:uiPriority w:val="99"/>
    <w:semiHidden/>
    <w:unhideWhenUsed/>
    <w:rsid w:val="00A141B4"/>
    <w:rPr>
      <w:sz w:val="20"/>
      <w:szCs w:val="20"/>
    </w:rPr>
  </w:style>
  <w:style w:type="character" w:customStyle="1" w:styleId="CommentTextChar">
    <w:name w:val="Comment Text Char"/>
    <w:basedOn w:val="DefaultParagraphFont"/>
    <w:link w:val="CommentText"/>
    <w:uiPriority w:val="99"/>
    <w:semiHidden/>
    <w:rsid w:val="00A141B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141B4"/>
    <w:rPr>
      <w:b/>
      <w:bCs/>
    </w:rPr>
  </w:style>
  <w:style w:type="character" w:customStyle="1" w:styleId="CommentSubjectChar">
    <w:name w:val="Comment Subject Char"/>
    <w:basedOn w:val="CommentTextChar"/>
    <w:link w:val="CommentSubject"/>
    <w:uiPriority w:val="99"/>
    <w:semiHidden/>
    <w:rsid w:val="00A141B4"/>
    <w:rPr>
      <w:rFonts w:asciiTheme="minorHAnsi" w:hAnsiTheme="minorHAnsi"/>
      <w:b/>
      <w:bCs/>
      <w:sz w:val="20"/>
      <w:szCs w:val="20"/>
    </w:rPr>
  </w:style>
  <w:style w:type="paragraph" w:styleId="ListParagraph">
    <w:name w:val="List Paragraph"/>
    <w:basedOn w:val="Normal"/>
    <w:uiPriority w:val="34"/>
    <w:qFormat/>
    <w:rsid w:val="004A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xford.gov.uk/floodriskfor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117F-F517-480F-808D-2D4D7799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CDF5846E</Template>
  <TotalTime>234</TotalTime>
  <Pages>10</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schesshyre</dc:creator>
  <cp:lastModifiedBy>cphythian</cp:lastModifiedBy>
  <cp:revision>24</cp:revision>
  <dcterms:created xsi:type="dcterms:W3CDTF">2019-07-18T08:18:00Z</dcterms:created>
  <dcterms:modified xsi:type="dcterms:W3CDTF">2019-07-29T08:32:00Z</dcterms:modified>
</cp:coreProperties>
</file>